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BB1A" w14:textId="77777777" w:rsidR="004E59FB" w:rsidRPr="003523EB" w:rsidRDefault="004E59FB" w:rsidP="004E59FB">
      <w:pPr>
        <w:pStyle w:val="Heading1"/>
        <w:jc w:val="center"/>
      </w:pPr>
      <w:r w:rsidRPr="003523EB">
        <w:t>Institutional Performance Objectives</w:t>
      </w:r>
    </w:p>
    <w:p w14:paraId="0F104607" w14:textId="75E03D39" w:rsidR="00CC3BF2" w:rsidRPr="003523EB" w:rsidRDefault="00D3201A" w:rsidP="00094497">
      <w:pPr>
        <w:jc w:val="center"/>
        <w:rPr>
          <w:sz w:val="24"/>
          <w:szCs w:val="24"/>
        </w:rPr>
      </w:pPr>
      <w:r w:rsidRPr="003523EB">
        <w:rPr>
          <w:sz w:val="24"/>
          <w:szCs w:val="24"/>
        </w:rPr>
        <w:t xml:space="preserve"> 202</w:t>
      </w:r>
      <w:r w:rsidR="00C35EF8" w:rsidRPr="003523EB">
        <w:rPr>
          <w:sz w:val="24"/>
          <w:szCs w:val="24"/>
        </w:rPr>
        <w:t>6</w:t>
      </w:r>
      <w:r w:rsidR="002120A3" w:rsidRPr="003523EB">
        <w:rPr>
          <w:sz w:val="24"/>
          <w:szCs w:val="24"/>
        </w:rPr>
        <w:t>-202</w:t>
      </w:r>
      <w:r w:rsidR="00C35EF8" w:rsidRPr="003523EB">
        <w:rPr>
          <w:sz w:val="24"/>
          <w:szCs w:val="24"/>
        </w:rPr>
        <w:t>7</w:t>
      </w:r>
    </w:p>
    <w:p w14:paraId="7E5B45FE" w14:textId="77777777" w:rsidR="00094497" w:rsidRPr="00F06F25" w:rsidRDefault="00094497">
      <w:pPr>
        <w:rPr>
          <w:lang w:val="en-US"/>
        </w:rPr>
      </w:pPr>
    </w:p>
    <w:p w14:paraId="0E991E1B" w14:textId="3C36822C" w:rsidR="00094497" w:rsidRDefault="004E59FB">
      <w:pPr>
        <w:rPr>
          <w:lang w:val="en-US"/>
        </w:rPr>
      </w:pPr>
      <w:r>
        <w:rPr>
          <w:lang w:val="en-US"/>
        </w:rPr>
        <w:t>Research Support Fund 2026-2027</w:t>
      </w:r>
    </w:p>
    <w:p w14:paraId="50193434" w14:textId="77777777" w:rsidR="004E59FB" w:rsidRPr="004E59FB" w:rsidRDefault="004E59FB">
      <w:pPr>
        <w:rPr>
          <w:bCs/>
          <w:lang w:val="en-US"/>
        </w:rPr>
      </w:pPr>
    </w:p>
    <w:tbl>
      <w:tblPr>
        <w:tblStyle w:val="TableGrid"/>
        <w:tblW w:w="18720" w:type="dxa"/>
        <w:tblInd w:w="-280" w:type="dxa"/>
        <w:tblCellMar>
          <w:top w:w="9" w:type="dxa"/>
          <w:left w:w="94" w:type="dxa"/>
          <w:right w:w="48" w:type="dxa"/>
        </w:tblCellMar>
        <w:tblLook w:val="04A0" w:firstRow="1" w:lastRow="0" w:firstColumn="1" w:lastColumn="0" w:noHBand="0" w:noVBand="1"/>
      </w:tblPr>
      <w:tblGrid>
        <w:gridCol w:w="1890"/>
        <w:gridCol w:w="2790"/>
        <w:gridCol w:w="3919"/>
        <w:gridCol w:w="3011"/>
        <w:gridCol w:w="7110"/>
      </w:tblGrid>
      <w:tr w:rsidR="00941042" w:rsidRPr="004E59FB" w14:paraId="0E832C06" w14:textId="77777777" w:rsidTr="00AA38E2">
        <w:trPr>
          <w:trHeight w:val="776"/>
        </w:trPr>
        <w:tc>
          <w:tcPr>
            <w:tcW w:w="1890" w:type="dxa"/>
            <w:tcBorders>
              <w:top w:val="single" w:sz="8" w:space="0" w:color="9CC2E5"/>
              <w:left w:val="single" w:sz="8" w:space="0" w:color="9CC2E5"/>
              <w:bottom w:val="single" w:sz="8" w:space="0" w:color="9CC2E5"/>
              <w:right w:val="single" w:sz="8" w:space="0" w:color="9CC2E5"/>
            </w:tcBorders>
            <w:shd w:val="clear" w:color="auto" w:fill="4472C4" w:themeFill="accent5"/>
          </w:tcPr>
          <w:p w14:paraId="2324BCF7" w14:textId="77777777" w:rsidR="00941042" w:rsidRPr="004E59FB" w:rsidRDefault="001F1CEB">
            <w:pPr>
              <w:jc w:val="center"/>
              <w:rPr>
                <w:bCs/>
              </w:rPr>
            </w:pPr>
            <w:r w:rsidRPr="004E59FB">
              <w:rPr>
                <w:bCs/>
              </w:rPr>
              <w:t xml:space="preserve">  </w:t>
            </w:r>
            <w:r w:rsidR="00941042" w:rsidRPr="004E59FB">
              <w:rPr>
                <w:bCs/>
                <w:color w:val="FFFFFF"/>
              </w:rPr>
              <w:t xml:space="preserve">Expenditure category </w:t>
            </w:r>
          </w:p>
        </w:tc>
        <w:tc>
          <w:tcPr>
            <w:tcW w:w="2790" w:type="dxa"/>
            <w:tcBorders>
              <w:top w:val="single" w:sz="8" w:space="0" w:color="9CC2E5"/>
              <w:left w:val="single" w:sz="8" w:space="0" w:color="9CC2E5"/>
              <w:bottom w:val="single" w:sz="8" w:space="0" w:color="9CC2E5"/>
              <w:right w:val="single" w:sz="8" w:space="0" w:color="9CC2E5"/>
            </w:tcBorders>
            <w:shd w:val="clear" w:color="auto" w:fill="4472C4" w:themeFill="accent5"/>
          </w:tcPr>
          <w:p w14:paraId="53720A53" w14:textId="77777777" w:rsidR="00941042" w:rsidRPr="004E59FB" w:rsidRDefault="00941042">
            <w:pPr>
              <w:jc w:val="center"/>
              <w:rPr>
                <w:bCs/>
              </w:rPr>
            </w:pPr>
            <w:r w:rsidRPr="004E59FB">
              <w:rPr>
                <w:bCs/>
                <w:color w:val="FFFFFF"/>
              </w:rPr>
              <w:t xml:space="preserve">Institutional performance objective </w:t>
            </w:r>
          </w:p>
        </w:tc>
        <w:tc>
          <w:tcPr>
            <w:tcW w:w="3919" w:type="dxa"/>
            <w:tcBorders>
              <w:top w:val="single" w:sz="8" w:space="0" w:color="9CC2E5"/>
              <w:left w:val="single" w:sz="8" w:space="0" w:color="9CC2E5"/>
              <w:bottom w:val="single" w:sz="8" w:space="0" w:color="9CC2E5"/>
              <w:right w:val="single" w:sz="8" w:space="0" w:color="9CC2E5"/>
            </w:tcBorders>
            <w:shd w:val="clear" w:color="auto" w:fill="4472C4" w:themeFill="accent5"/>
          </w:tcPr>
          <w:p w14:paraId="5902EDA3" w14:textId="5E3BBDB6" w:rsidR="00941042" w:rsidRPr="004E59FB" w:rsidRDefault="00941042" w:rsidP="004E59FB">
            <w:pPr>
              <w:ind w:left="196" w:right="44" w:hanging="285"/>
              <w:jc w:val="center"/>
              <w:rPr>
                <w:bCs/>
              </w:rPr>
            </w:pPr>
            <w:r w:rsidRPr="004E59FB">
              <w:rPr>
                <w:bCs/>
                <w:color w:val="FFFFFF"/>
              </w:rPr>
              <w:t>Indicator</w:t>
            </w:r>
          </w:p>
        </w:tc>
        <w:tc>
          <w:tcPr>
            <w:tcW w:w="3011" w:type="dxa"/>
            <w:tcBorders>
              <w:top w:val="single" w:sz="8" w:space="0" w:color="9CC2E5"/>
              <w:left w:val="single" w:sz="8" w:space="0" w:color="9CC2E5"/>
              <w:bottom w:val="single" w:sz="8" w:space="0" w:color="9CC2E5"/>
              <w:right w:val="single" w:sz="8" w:space="0" w:color="9CC2E5"/>
            </w:tcBorders>
            <w:shd w:val="clear" w:color="auto" w:fill="4472C4" w:themeFill="accent5"/>
          </w:tcPr>
          <w:p w14:paraId="60637E19" w14:textId="77777777" w:rsidR="00941042" w:rsidRPr="004E59FB" w:rsidRDefault="00941042">
            <w:pPr>
              <w:ind w:right="45"/>
              <w:jc w:val="center"/>
              <w:rPr>
                <w:bCs/>
              </w:rPr>
            </w:pPr>
            <w:r w:rsidRPr="004E59FB">
              <w:rPr>
                <w:bCs/>
                <w:color w:val="FFFFFF"/>
              </w:rPr>
              <w:t xml:space="preserve">Output </w:t>
            </w:r>
          </w:p>
        </w:tc>
        <w:tc>
          <w:tcPr>
            <w:tcW w:w="7110" w:type="dxa"/>
            <w:tcBorders>
              <w:top w:val="single" w:sz="8" w:space="0" w:color="9CC2E5"/>
              <w:left w:val="single" w:sz="8" w:space="0" w:color="9CC2E5"/>
              <w:bottom w:val="single" w:sz="8" w:space="0" w:color="9CC2E5"/>
              <w:right w:val="single" w:sz="8" w:space="0" w:color="9CC2E5"/>
            </w:tcBorders>
            <w:shd w:val="clear" w:color="auto" w:fill="4472C4" w:themeFill="accent5"/>
          </w:tcPr>
          <w:p w14:paraId="63E976E5" w14:textId="1AF2588C" w:rsidR="00941042" w:rsidRPr="004E59FB" w:rsidRDefault="00941042" w:rsidP="004E59FB">
            <w:pPr>
              <w:ind w:left="136" w:hanging="270"/>
              <w:jc w:val="center"/>
              <w:rPr>
                <w:bCs/>
              </w:rPr>
            </w:pPr>
            <w:r w:rsidRPr="004E59FB">
              <w:rPr>
                <w:bCs/>
                <w:color w:val="FFFFFF"/>
              </w:rPr>
              <w:t>Target Outcome</w:t>
            </w:r>
          </w:p>
        </w:tc>
      </w:tr>
      <w:tr w:rsidR="00941042" w:rsidRPr="00F06F25" w14:paraId="3411D627" w14:textId="77777777" w:rsidTr="00AA38E2">
        <w:trPr>
          <w:trHeight w:val="1303"/>
        </w:trPr>
        <w:tc>
          <w:tcPr>
            <w:tcW w:w="1890" w:type="dxa"/>
            <w:tcBorders>
              <w:top w:val="single" w:sz="8" w:space="0" w:color="9CC2E5"/>
              <w:left w:val="single" w:sz="8" w:space="0" w:color="9CC2E5"/>
              <w:bottom w:val="single" w:sz="8" w:space="0" w:color="9CC2E5"/>
              <w:right w:val="single" w:sz="8" w:space="0" w:color="9CC2E5"/>
            </w:tcBorders>
            <w:vAlign w:val="center"/>
          </w:tcPr>
          <w:p w14:paraId="593CAD2F" w14:textId="77777777" w:rsidR="00941042" w:rsidRPr="006B36A4" w:rsidRDefault="00941042" w:rsidP="005648A6">
            <w:pPr>
              <w:jc w:val="center"/>
              <w:rPr>
                <w:b w:val="0"/>
                <w:color w:val="auto"/>
              </w:rPr>
            </w:pPr>
            <w:hyperlink r:id="rId8" w:anchor="facilities">
              <w:r w:rsidRPr="006B36A4">
                <w:rPr>
                  <w:b w:val="0"/>
                  <w:color w:val="auto"/>
                  <w:u w:color="0563C1"/>
                </w:rPr>
                <w:t>Research</w:t>
              </w:r>
            </w:hyperlink>
            <w:hyperlink r:id="rId9" w:anchor="facilities">
              <w:r w:rsidRPr="006B36A4">
                <w:rPr>
                  <w:b w:val="0"/>
                  <w:color w:val="auto"/>
                </w:rPr>
                <w:t xml:space="preserve"> </w:t>
              </w:r>
            </w:hyperlink>
            <w:hyperlink r:id="rId10" w:anchor="facilities">
              <w:r w:rsidRPr="006B36A4">
                <w:rPr>
                  <w:b w:val="0"/>
                  <w:color w:val="auto"/>
                  <w:u w:color="0563C1"/>
                </w:rPr>
                <w:t>facilities</w:t>
              </w:r>
            </w:hyperlink>
            <w:hyperlink r:id="rId11" w:anchor="facilities">
              <w:r w:rsidRPr="006B36A4">
                <w:rPr>
                  <w:b w:val="0"/>
                  <w:color w:val="auto"/>
                </w:rPr>
                <w:t xml:space="preserve"> </w:t>
              </w:r>
            </w:hyperlink>
          </w:p>
        </w:tc>
        <w:tc>
          <w:tcPr>
            <w:tcW w:w="2790" w:type="dxa"/>
            <w:tcBorders>
              <w:top w:val="single" w:sz="8" w:space="0" w:color="9CC2E5"/>
              <w:left w:val="single" w:sz="8" w:space="0" w:color="9CC2E5"/>
              <w:bottom w:val="single" w:sz="8" w:space="0" w:color="9CC2E5"/>
              <w:right w:val="single" w:sz="8" w:space="0" w:color="9CC2E5"/>
            </w:tcBorders>
            <w:vAlign w:val="center"/>
          </w:tcPr>
          <w:p w14:paraId="07CCB719" w14:textId="77777777" w:rsidR="00941042" w:rsidRPr="00F06F25" w:rsidRDefault="00941042" w:rsidP="005648A6">
            <w:pPr>
              <w:spacing w:after="2" w:line="239" w:lineRule="auto"/>
              <w:ind w:left="14"/>
              <w:jc w:val="center"/>
              <w:rPr>
                <w:b w:val="0"/>
              </w:rPr>
            </w:pPr>
            <w:r w:rsidRPr="00F06F25">
              <w:rPr>
                <w:b w:val="0"/>
              </w:rPr>
              <w:t>Support the ongoing maintenance and operations of</w:t>
            </w:r>
          </w:p>
          <w:p w14:paraId="5398F773" w14:textId="77777777" w:rsidR="00941042" w:rsidRPr="00F06F25" w:rsidRDefault="00941042" w:rsidP="005648A6">
            <w:pPr>
              <w:spacing w:after="2" w:line="239" w:lineRule="auto"/>
              <w:ind w:left="14"/>
              <w:jc w:val="center"/>
              <w:rPr>
                <w:b w:val="0"/>
              </w:rPr>
            </w:pPr>
            <w:r w:rsidRPr="00F06F25">
              <w:rPr>
                <w:b w:val="0"/>
              </w:rPr>
              <w:t>research facilities on campus</w:t>
            </w:r>
          </w:p>
        </w:tc>
        <w:tc>
          <w:tcPr>
            <w:tcW w:w="3919" w:type="dxa"/>
            <w:tcBorders>
              <w:top w:val="single" w:sz="8" w:space="0" w:color="9CC2E5"/>
              <w:left w:val="single" w:sz="8" w:space="0" w:color="9CC2E5"/>
              <w:bottom w:val="single" w:sz="8" w:space="0" w:color="9CC2E5"/>
              <w:right w:val="single" w:sz="8" w:space="0" w:color="9CC2E5"/>
            </w:tcBorders>
            <w:vAlign w:val="center"/>
          </w:tcPr>
          <w:p w14:paraId="2E59C78D" w14:textId="77777777" w:rsidR="00941042" w:rsidRPr="00F06F25" w:rsidRDefault="002B41C6" w:rsidP="00C3792F">
            <w:pPr>
              <w:spacing w:after="1" w:line="239" w:lineRule="auto"/>
              <w:ind w:left="196" w:right="44" w:hanging="285"/>
              <w:rPr>
                <w:b w:val="0"/>
                <w:highlight w:val="yellow"/>
              </w:rPr>
            </w:pPr>
            <w:r w:rsidRPr="00F06F25">
              <w:rPr>
                <w:b w:val="0"/>
              </w:rPr>
              <w:t xml:space="preserve">Total </w:t>
            </w:r>
            <w:r w:rsidR="00941042" w:rsidRPr="00F06F25">
              <w:rPr>
                <w:b w:val="0"/>
              </w:rPr>
              <w:t>Square footage allocated to research</w:t>
            </w:r>
          </w:p>
        </w:tc>
        <w:tc>
          <w:tcPr>
            <w:tcW w:w="3011" w:type="dxa"/>
            <w:tcBorders>
              <w:top w:val="single" w:sz="8" w:space="0" w:color="9CC2E5"/>
              <w:left w:val="single" w:sz="8" w:space="0" w:color="9CC2E5"/>
              <w:bottom w:val="single" w:sz="8" w:space="0" w:color="9CC2E5"/>
              <w:right w:val="single" w:sz="8" w:space="0" w:color="9CC2E5"/>
            </w:tcBorders>
            <w:vAlign w:val="center"/>
          </w:tcPr>
          <w:p w14:paraId="45493EB8" w14:textId="77777777" w:rsidR="00941042" w:rsidRPr="00F06F25" w:rsidRDefault="00941042" w:rsidP="005648A6">
            <w:pPr>
              <w:ind w:left="14"/>
              <w:jc w:val="center"/>
              <w:rPr>
                <w:b w:val="0"/>
              </w:rPr>
            </w:pPr>
            <w:r w:rsidRPr="00F06F25">
              <w:rPr>
                <w:b w:val="0"/>
              </w:rPr>
              <w:t>Portion of RSF funds invested to support this activity.</w:t>
            </w:r>
          </w:p>
        </w:tc>
        <w:tc>
          <w:tcPr>
            <w:tcW w:w="7110" w:type="dxa"/>
            <w:tcBorders>
              <w:top w:val="single" w:sz="8" w:space="0" w:color="9CC2E5"/>
              <w:left w:val="single" w:sz="8" w:space="0" w:color="9CC2E5"/>
              <w:bottom w:val="single" w:sz="8" w:space="0" w:color="9CC2E5"/>
              <w:right w:val="single" w:sz="8" w:space="0" w:color="9CC2E5"/>
            </w:tcBorders>
            <w:vAlign w:val="center"/>
          </w:tcPr>
          <w:p w14:paraId="25F7F229" w14:textId="77777777" w:rsidR="00941042" w:rsidRPr="00F06F25" w:rsidRDefault="00DF65DB" w:rsidP="004E59FB">
            <w:pPr>
              <w:pStyle w:val="ListParagraph"/>
              <w:numPr>
                <w:ilvl w:val="0"/>
                <w:numId w:val="2"/>
              </w:numPr>
              <w:ind w:left="136" w:right="41" w:hanging="270"/>
              <w:rPr>
                <w:rFonts w:eastAsiaTheme="minorHAnsi"/>
                <w:b w:val="0"/>
                <w:color w:val="auto"/>
              </w:rPr>
            </w:pPr>
            <w:r w:rsidRPr="00F06F25">
              <w:rPr>
                <w:b w:val="0"/>
              </w:rPr>
              <w:t>Total square footage devoted to research is equal to or more than in the previous year.</w:t>
            </w:r>
          </w:p>
        </w:tc>
      </w:tr>
      <w:tr w:rsidR="00941042" w:rsidRPr="00F06F25" w14:paraId="1A6917E3" w14:textId="77777777" w:rsidTr="00AA38E2">
        <w:trPr>
          <w:trHeight w:val="1303"/>
        </w:trPr>
        <w:tc>
          <w:tcPr>
            <w:tcW w:w="1890" w:type="dxa"/>
            <w:tcBorders>
              <w:top w:val="single" w:sz="8" w:space="0" w:color="9CC2E5"/>
              <w:left w:val="single" w:sz="8" w:space="0" w:color="9CC2E5"/>
              <w:bottom w:val="single" w:sz="8" w:space="0" w:color="9CC2E5"/>
              <w:right w:val="single" w:sz="8" w:space="0" w:color="9CC2E5"/>
            </w:tcBorders>
            <w:vAlign w:val="center"/>
          </w:tcPr>
          <w:p w14:paraId="2B51660B" w14:textId="77777777" w:rsidR="00941042" w:rsidRPr="006B36A4" w:rsidRDefault="00941042" w:rsidP="005648A6">
            <w:pPr>
              <w:jc w:val="center"/>
              <w:rPr>
                <w:b w:val="0"/>
                <w:color w:val="auto"/>
              </w:rPr>
            </w:pPr>
            <w:hyperlink r:id="rId12" w:anchor="resources">
              <w:r w:rsidRPr="006B36A4">
                <w:rPr>
                  <w:b w:val="0"/>
                  <w:color w:val="auto"/>
                  <w:u w:color="0563C1"/>
                </w:rPr>
                <w:t>Research</w:t>
              </w:r>
            </w:hyperlink>
            <w:hyperlink r:id="rId13" w:anchor="resources">
              <w:r w:rsidRPr="006B36A4">
                <w:rPr>
                  <w:b w:val="0"/>
                  <w:color w:val="auto"/>
                </w:rPr>
                <w:t xml:space="preserve"> </w:t>
              </w:r>
            </w:hyperlink>
            <w:hyperlink r:id="rId14" w:anchor="resources">
              <w:r w:rsidRPr="006B36A4">
                <w:rPr>
                  <w:b w:val="0"/>
                  <w:color w:val="auto"/>
                  <w:u w:color="0563C1"/>
                </w:rPr>
                <w:t>resources</w:t>
              </w:r>
            </w:hyperlink>
            <w:hyperlink r:id="rId15" w:anchor="resources">
              <w:r w:rsidRPr="006B36A4">
                <w:rPr>
                  <w:b w:val="0"/>
                  <w:color w:val="auto"/>
                </w:rPr>
                <w:t xml:space="preserve"> </w:t>
              </w:r>
            </w:hyperlink>
          </w:p>
        </w:tc>
        <w:tc>
          <w:tcPr>
            <w:tcW w:w="2790" w:type="dxa"/>
            <w:tcBorders>
              <w:top w:val="single" w:sz="8" w:space="0" w:color="9CC2E5"/>
              <w:left w:val="single" w:sz="8" w:space="0" w:color="9CC2E5"/>
              <w:bottom w:val="single" w:sz="8" w:space="0" w:color="9CC2E5"/>
              <w:right w:val="single" w:sz="8" w:space="0" w:color="9CC2E5"/>
            </w:tcBorders>
            <w:vAlign w:val="center"/>
          </w:tcPr>
          <w:p w14:paraId="495FF4FC" w14:textId="448D81AE" w:rsidR="00941042" w:rsidRPr="00F06F25" w:rsidRDefault="0002498E" w:rsidP="00844901">
            <w:pPr>
              <w:ind w:left="14"/>
              <w:jc w:val="center"/>
              <w:rPr>
                <w:b w:val="0"/>
                <w:bCs/>
              </w:rPr>
            </w:pPr>
            <w:r w:rsidRPr="00F06F25">
              <w:rPr>
                <w:b w:val="0"/>
                <w:bCs/>
              </w:rPr>
              <w:t>Support</w:t>
            </w:r>
            <w:r w:rsidR="00844901" w:rsidRPr="00F06F25">
              <w:rPr>
                <w:b w:val="0"/>
                <w:bCs/>
              </w:rPr>
              <w:t xml:space="preserve"> information technology </w:t>
            </w:r>
            <w:r w:rsidRPr="00F06F25">
              <w:rPr>
                <w:b w:val="0"/>
                <w:bCs/>
              </w:rPr>
              <w:t>provided</w:t>
            </w:r>
            <w:r w:rsidR="00844901" w:rsidRPr="00F06F25">
              <w:rPr>
                <w:b w:val="0"/>
                <w:bCs/>
              </w:rPr>
              <w:t xml:space="preserve"> to faculty members and graduate students</w:t>
            </w:r>
          </w:p>
        </w:tc>
        <w:tc>
          <w:tcPr>
            <w:tcW w:w="3919" w:type="dxa"/>
            <w:tcBorders>
              <w:top w:val="single" w:sz="8" w:space="0" w:color="9CC2E5"/>
              <w:left w:val="single" w:sz="8" w:space="0" w:color="9CC2E5"/>
              <w:bottom w:val="single" w:sz="8" w:space="0" w:color="9CC2E5"/>
              <w:right w:val="single" w:sz="8" w:space="0" w:color="9CC2E5"/>
            </w:tcBorders>
            <w:vAlign w:val="center"/>
          </w:tcPr>
          <w:p w14:paraId="51C073BD" w14:textId="27D8C469" w:rsidR="000031C4" w:rsidRPr="004E59FB" w:rsidRDefault="0002498E" w:rsidP="00ED762E">
            <w:pPr>
              <w:pStyle w:val="ListParagraph"/>
              <w:numPr>
                <w:ilvl w:val="0"/>
                <w:numId w:val="6"/>
              </w:numPr>
              <w:spacing w:after="1"/>
              <w:ind w:left="360" w:right="44"/>
              <w:rPr>
                <w:b w:val="0"/>
              </w:rPr>
            </w:pPr>
            <w:r w:rsidRPr="004E59FB">
              <w:rPr>
                <w:b w:val="0"/>
              </w:rPr>
              <w:t xml:space="preserve">Access to </w:t>
            </w:r>
            <w:r w:rsidR="007D16E8" w:rsidRPr="004E59FB">
              <w:rPr>
                <w:b w:val="0"/>
              </w:rPr>
              <w:t xml:space="preserve">research software site licenses, </w:t>
            </w:r>
            <w:r w:rsidRPr="004E59FB">
              <w:rPr>
                <w:b w:val="0"/>
              </w:rPr>
              <w:t>RCS ShareFile</w:t>
            </w:r>
            <w:r w:rsidR="007D16E8" w:rsidRPr="004E59FB">
              <w:rPr>
                <w:b w:val="0"/>
              </w:rPr>
              <w:t xml:space="preserve"> and</w:t>
            </w:r>
            <w:r w:rsidRPr="004E59FB">
              <w:rPr>
                <w:b w:val="0"/>
              </w:rPr>
              <w:t xml:space="preserve"> Research Computing and Development Cloud </w:t>
            </w:r>
          </w:p>
          <w:p w14:paraId="690ACF65" w14:textId="6B6E1B0E" w:rsidR="0002498E" w:rsidRPr="004E59FB" w:rsidRDefault="0002498E" w:rsidP="00ED762E">
            <w:pPr>
              <w:pStyle w:val="ListParagraph"/>
              <w:numPr>
                <w:ilvl w:val="0"/>
                <w:numId w:val="6"/>
              </w:numPr>
              <w:spacing w:after="1"/>
              <w:ind w:left="360" w:right="44"/>
              <w:rPr>
                <w:b w:val="0"/>
              </w:rPr>
            </w:pPr>
            <w:r w:rsidRPr="004E59FB">
              <w:rPr>
                <w:b w:val="0"/>
              </w:rPr>
              <w:t xml:space="preserve">Support to </w:t>
            </w:r>
            <w:hyperlink r:id="rId16" w:history="1">
              <w:r w:rsidRPr="004E59FB">
                <w:rPr>
                  <w:rStyle w:val="Hyperlink"/>
                  <w:b w:val="0"/>
                </w:rPr>
                <w:t>RCS Research Software Development team</w:t>
              </w:r>
            </w:hyperlink>
            <w:r w:rsidRPr="004E59FB">
              <w:rPr>
                <w:b w:val="0"/>
              </w:rPr>
              <w:t>.</w:t>
            </w:r>
          </w:p>
        </w:tc>
        <w:tc>
          <w:tcPr>
            <w:tcW w:w="3011" w:type="dxa"/>
            <w:tcBorders>
              <w:top w:val="single" w:sz="8" w:space="0" w:color="9CC2E5"/>
              <w:left w:val="single" w:sz="8" w:space="0" w:color="9CC2E5"/>
              <w:bottom w:val="single" w:sz="8" w:space="0" w:color="9CC2E5"/>
              <w:right w:val="single" w:sz="8" w:space="0" w:color="9CC2E5"/>
            </w:tcBorders>
            <w:vAlign w:val="center"/>
          </w:tcPr>
          <w:p w14:paraId="5EC349FB" w14:textId="77777777" w:rsidR="00941042" w:rsidRPr="004E59FB" w:rsidRDefault="00941042" w:rsidP="005648A6">
            <w:pPr>
              <w:ind w:left="14"/>
              <w:jc w:val="center"/>
              <w:rPr>
                <w:b w:val="0"/>
              </w:rPr>
            </w:pPr>
            <w:r w:rsidRPr="004E59FB">
              <w:rPr>
                <w:b w:val="0"/>
              </w:rPr>
              <w:t>Portion of RS</w:t>
            </w:r>
            <w:r w:rsidR="00CA712A" w:rsidRPr="004E59FB">
              <w:rPr>
                <w:b w:val="0"/>
              </w:rPr>
              <w:t xml:space="preserve">F </w:t>
            </w:r>
            <w:r w:rsidR="00AD477E" w:rsidRPr="004E59FB">
              <w:rPr>
                <w:b w:val="0"/>
              </w:rPr>
              <w:t xml:space="preserve">funds </w:t>
            </w:r>
            <w:r w:rsidR="00CA712A" w:rsidRPr="004E59FB">
              <w:rPr>
                <w:b w:val="0"/>
              </w:rPr>
              <w:t>invested to support these activities</w:t>
            </w:r>
            <w:r w:rsidRPr="004E59FB">
              <w:rPr>
                <w:b w:val="0"/>
              </w:rPr>
              <w:t>.</w:t>
            </w:r>
          </w:p>
        </w:tc>
        <w:tc>
          <w:tcPr>
            <w:tcW w:w="7110" w:type="dxa"/>
            <w:tcBorders>
              <w:top w:val="single" w:sz="8" w:space="0" w:color="9CC2E5"/>
              <w:left w:val="single" w:sz="8" w:space="0" w:color="9CC2E5"/>
              <w:bottom w:val="single" w:sz="8" w:space="0" w:color="9CC2E5"/>
              <w:right w:val="single" w:sz="8" w:space="0" w:color="9CC2E5"/>
            </w:tcBorders>
          </w:tcPr>
          <w:p w14:paraId="33DCE8EB" w14:textId="77777777" w:rsidR="0002498E" w:rsidRPr="004E59FB" w:rsidRDefault="0002498E" w:rsidP="0016369F">
            <w:pPr>
              <w:pStyle w:val="ListParagraph"/>
              <w:spacing w:line="252" w:lineRule="auto"/>
              <w:ind w:left="136" w:right="11"/>
              <w:rPr>
                <w:b w:val="0"/>
                <w:bCs/>
              </w:rPr>
            </w:pPr>
          </w:p>
          <w:p w14:paraId="1E96CDFD" w14:textId="715C516A" w:rsidR="006C734A" w:rsidRPr="004E59FB" w:rsidRDefault="0002498E" w:rsidP="004E59FB">
            <w:pPr>
              <w:pStyle w:val="ListParagraph"/>
              <w:numPr>
                <w:ilvl w:val="0"/>
                <w:numId w:val="2"/>
              </w:numPr>
              <w:ind w:left="136" w:right="41" w:hanging="270"/>
              <w:rPr>
                <w:b w:val="0"/>
                <w:bCs/>
              </w:rPr>
            </w:pPr>
            <w:r w:rsidRPr="004E59FB">
              <w:rPr>
                <w:b w:val="0"/>
                <w:bCs/>
              </w:rPr>
              <w:t xml:space="preserve">Total research related information technology support is equal to or greater than in </w:t>
            </w:r>
            <w:r w:rsidR="00A82C7E" w:rsidRPr="004E59FB">
              <w:rPr>
                <w:b w:val="0"/>
                <w:bCs/>
              </w:rPr>
              <w:t>2018-2019</w:t>
            </w:r>
          </w:p>
        </w:tc>
      </w:tr>
      <w:tr w:rsidR="00941042" w:rsidRPr="00F06F25" w14:paraId="0745FB8A" w14:textId="77777777" w:rsidTr="00AA38E2">
        <w:trPr>
          <w:trHeight w:val="2040"/>
        </w:trPr>
        <w:tc>
          <w:tcPr>
            <w:tcW w:w="1890" w:type="dxa"/>
            <w:tcBorders>
              <w:top w:val="single" w:sz="8" w:space="0" w:color="9CC2E5"/>
              <w:left w:val="single" w:sz="8" w:space="0" w:color="9CC2E5"/>
              <w:bottom w:val="single" w:sz="8" w:space="0" w:color="9CC2E5"/>
              <w:right w:val="single" w:sz="8" w:space="0" w:color="9CC2E5"/>
            </w:tcBorders>
            <w:vAlign w:val="center"/>
          </w:tcPr>
          <w:p w14:paraId="4CC6230D" w14:textId="77777777" w:rsidR="00941042" w:rsidRPr="006B36A4" w:rsidRDefault="00941042" w:rsidP="005648A6">
            <w:pPr>
              <w:spacing w:line="241" w:lineRule="auto"/>
              <w:jc w:val="center"/>
              <w:rPr>
                <w:b w:val="0"/>
                <w:color w:val="auto"/>
              </w:rPr>
            </w:pPr>
            <w:hyperlink r:id="rId17" w:anchor="management">
              <w:r w:rsidRPr="006B36A4">
                <w:rPr>
                  <w:b w:val="0"/>
                  <w:color w:val="auto"/>
                  <w:u w:color="0563C1"/>
                </w:rPr>
                <w:t>Management</w:t>
              </w:r>
            </w:hyperlink>
            <w:hyperlink r:id="rId18" w:anchor="management">
              <w:r w:rsidRPr="006B36A4">
                <w:rPr>
                  <w:b w:val="0"/>
                  <w:color w:val="auto"/>
                </w:rPr>
                <w:t xml:space="preserve"> </w:t>
              </w:r>
            </w:hyperlink>
            <w:hyperlink r:id="rId19" w:anchor="management">
              <w:r w:rsidRPr="006B36A4">
                <w:rPr>
                  <w:b w:val="0"/>
                  <w:color w:val="auto"/>
                  <w:u w:color="0563C1"/>
                </w:rPr>
                <w:t>and</w:t>
              </w:r>
            </w:hyperlink>
            <w:hyperlink r:id="rId20" w:anchor="management">
              <w:r w:rsidRPr="006B36A4">
                <w:rPr>
                  <w:b w:val="0"/>
                  <w:color w:val="auto"/>
                </w:rPr>
                <w:t xml:space="preserve"> </w:t>
              </w:r>
            </w:hyperlink>
          </w:p>
          <w:p w14:paraId="683B7D6A" w14:textId="77777777" w:rsidR="00941042" w:rsidRPr="006B36A4" w:rsidRDefault="00941042" w:rsidP="005648A6">
            <w:pPr>
              <w:jc w:val="center"/>
              <w:rPr>
                <w:b w:val="0"/>
                <w:color w:val="auto"/>
              </w:rPr>
            </w:pPr>
            <w:hyperlink r:id="rId21" w:anchor="management">
              <w:r w:rsidRPr="006B36A4">
                <w:rPr>
                  <w:b w:val="0"/>
                  <w:color w:val="auto"/>
                  <w:u w:color="0563C1"/>
                </w:rPr>
                <w:t>administration</w:t>
              </w:r>
            </w:hyperlink>
            <w:hyperlink r:id="rId22" w:anchor="management">
              <w:r w:rsidRPr="006B36A4">
                <w:rPr>
                  <w:b w:val="0"/>
                  <w:color w:val="auto"/>
                </w:rPr>
                <w:t xml:space="preserve"> </w:t>
              </w:r>
            </w:hyperlink>
            <w:hyperlink r:id="rId23" w:anchor="management">
              <w:r w:rsidRPr="006B36A4">
                <w:rPr>
                  <w:b w:val="0"/>
                  <w:color w:val="auto"/>
                  <w:u w:color="0563C1"/>
                </w:rPr>
                <w:t>of an</w:t>
              </w:r>
            </w:hyperlink>
            <w:hyperlink r:id="rId24" w:anchor="management">
              <w:r w:rsidRPr="006B36A4">
                <w:rPr>
                  <w:b w:val="0"/>
                  <w:color w:val="auto"/>
                </w:rPr>
                <w:t xml:space="preserve"> </w:t>
              </w:r>
            </w:hyperlink>
          </w:p>
          <w:p w14:paraId="4D474797" w14:textId="77777777" w:rsidR="00941042" w:rsidRPr="006B36A4" w:rsidRDefault="00941042" w:rsidP="005648A6">
            <w:pPr>
              <w:ind w:left="3" w:hanging="3"/>
              <w:jc w:val="center"/>
              <w:rPr>
                <w:b w:val="0"/>
                <w:color w:val="auto"/>
              </w:rPr>
            </w:pPr>
            <w:hyperlink r:id="rId25" w:anchor="management">
              <w:r w:rsidRPr="006B36A4">
                <w:rPr>
                  <w:b w:val="0"/>
                  <w:color w:val="auto"/>
                  <w:u w:color="0563C1"/>
                </w:rPr>
                <w:t>institution’s</w:t>
              </w:r>
            </w:hyperlink>
            <w:hyperlink r:id="rId26" w:anchor="management">
              <w:r w:rsidRPr="006B36A4">
                <w:rPr>
                  <w:b w:val="0"/>
                  <w:color w:val="auto"/>
                </w:rPr>
                <w:t xml:space="preserve"> </w:t>
              </w:r>
            </w:hyperlink>
            <w:hyperlink r:id="rId27" w:anchor="management">
              <w:r w:rsidRPr="006B36A4">
                <w:rPr>
                  <w:b w:val="0"/>
                  <w:color w:val="auto"/>
                  <w:u w:color="0563C1"/>
                </w:rPr>
                <w:t>research</w:t>
              </w:r>
            </w:hyperlink>
            <w:hyperlink r:id="rId28" w:anchor="management">
              <w:r w:rsidRPr="006B36A4">
                <w:rPr>
                  <w:b w:val="0"/>
                  <w:color w:val="auto"/>
                </w:rPr>
                <w:t xml:space="preserve"> </w:t>
              </w:r>
            </w:hyperlink>
            <w:hyperlink r:id="rId29" w:anchor="management">
              <w:r w:rsidRPr="006B36A4">
                <w:rPr>
                  <w:b w:val="0"/>
                  <w:color w:val="auto"/>
                  <w:u w:color="0563C1"/>
                </w:rPr>
                <w:t>enterprise</w:t>
              </w:r>
            </w:hyperlink>
            <w:hyperlink r:id="rId30" w:anchor="management">
              <w:r w:rsidRPr="006B36A4">
                <w:rPr>
                  <w:b w:val="0"/>
                  <w:color w:val="auto"/>
                </w:rPr>
                <w:t xml:space="preserve"> </w:t>
              </w:r>
            </w:hyperlink>
          </w:p>
        </w:tc>
        <w:tc>
          <w:tcPr>
            <w:tcW w:w="2790" w:type="dxa"/>
            <w:tcBorders>
              <w:top w:val="single" w:sz="8" w:space="0" w:color="9CC2E5"/>
              <w:left w:val="single" w:sz="8" w:space="0" w:color="9CC2E5"/>
              <w:bottom w:val="single" w:sz="8" w:space="0" w:color="9CC2E5"/>
              <w:right w:val="single" w:sz="8" w:space="0" w:color="9CC2E5"/>
            </w:tcBorders>
            <w:vAlign w:val="center"/>
          </w:tcPr>
          <w:p w14:paraId="42923DE7" w14:textId="77777777" w:rsidR="00941042" w:rsidRPr="00F06F25" w:rsidRDefault="00941042" w:rsidP="005648A6">
            <w:pPr>
              <w:ind w:left="14"/>
              <w:jc w:val="center"/>
              <w:rPr>
                <w:b w:val="0"/>
              </w:rPr>
            </w:pPr>
            <w:r w:rsidRPr="00F06F25">
              <w:rPr>
                <w:b w:val="0"/>
              </w:rPr>
              <w:t>Provide Effective</w:t>
            </w:r>
          </w:p>
          <w:p w14:paraId="7F5D9CC8" w14:textId="77777777" w:rsidR="00941042" w:rsidRPr="00F06F25" w:rsidRDefault="00941042" w:rsidP="005648A6">
            <w:pPr>
              <w:ind w:left="14"/>
              <w:jc w:val="center"/>
              <w:rPr>
                <w:b w:val="0"/>
              </w:rPr>
            </w:pPr>
            <w:r w:rsidRPr="00F06F25">
              <w:rPr>
                <w:b w:val="0"/>
              </w:rPr>
              <w:t>Research</w:t>
            </w:r>
          </w:p>
          <w:p w14:paraId="4554AB01" w14:textId="77777777" w:rsidR="00941042" w:rsidRPr="00F06F25" w:rsidRDefault="00941042" w:rsidP="005648A6">
            <w:pPr>
              <w:ind w:left="14"/>
              <w:jc w:val="center"/>
              <w:rPr>
                <w:b w:val="0"/>
              </w:rPr>
            </w:pPr>
            <w:r w:rsidRPr="00F06F25">
              <w:rPr>
                <w:b w:val="0"/>
              </w:rPr>
              <w:t>Administration</w:t>
            </w:r>
          </w:p>
        </w:tc>
        <w:tc>
          <w:tcPr>
            <w:tcW w:w="3919" w:type="dxa"/>
            <w:tcBorders>
              <w:top w:val="single" w:sz="8" w:space="0" w:color="9CC2E5"/>
              <w:left w:val="single" w:sz="8" w:space="0" w:color="9CC2E5"/>
              <w:bottom w:val="single" w:sz="8" w:space="0" w:color="9CC2E5"/>
              <w:right w:val="single" w:sz="8" w:space="0" w:color="9CC2E5"/>
            </w:tcBorders>
            <w:vAlign w:val="center"/>
          </w:tcPr>
          <w:p w14:paraId="5C311310" w14:textId="4B58DDA8" w:rsidR="00D40F0F" w:rsidRPr="00F06F25" w:rsidRDefault="00F751A9" w:rsidP="00ED762E">
            <w:pPr>
              <w:pStyle w:val="ListParagraph"/>
              <w:numPr>
                <w:ilvl w:val="0"/>
                <w:numId w:val="3"/>
              </w:numPr>
              <w:ind w:left="196" w:right="44" w:hanging="285"/>
              <w:rPr>
                <w:b w:val="0"/>
              </w:rPr>
            </w:pPr>
            <w:r w:rsidRPr="00F06F25">
              <w:rPr>
                <w:b w:val="0"/>
              </w:rPr>
              <w:t># personnel</w:t>
            </w:r>
            <w:r w:rsidR="00F25920" w:rsidRPr="00F06F25">
              <w:rPr>
                <w:b w:val="0"/>
              </w:rPr>
              <w:t xml:space="preserve"> </w:t>
            </w:r>
            <w:r w:rsidRPr="00F06F25">
              <w:rPr>
                <w:b w:val="0"/>
              </w:rPr>
              <w:t>dedicated to</w:t>
            </w:r>
            <w:r w:rsidR="00F25920" w:rsidRPr="00F06F25">
              <w:rPr>
                <w:b w:val="0"/>
              </w:rPr>
              <w:t xml:space="preserve"> and/or services offered related to</w:t>
            </w:r>
            <w:r w:rsidRPr="00F06F25">
              <w:rPr>
                <w:b w:val="0"/>
              </w:rPr>
              <w:t xml:space="preserve"> post award</w:t>
            </w:r>
            <w:r w:rsidR="00D40F0F" w:rsidRPr="00F06F25">
              <w:rPr>
                <w:b w:val="0"/>
              </w:rPr>
              <w:t xml:space="preserve"> </w:t>
            </w:r>
            <w:r w:rsidRPr="00F06F25">
              <w:rPr>
                <w:b w:val="0"/>
              </w:rPr>
              <w:t>administration</w:t>
            </w:r>
            <w:r w:rsidR="00BC46FE" w:rsidRPr="00F06F25">
              <w:rPr>
                <w:b w:val="0"/>
              </w:rPr>
              <w:t xml:space="preserve"> </w:t>
            </w:r>
          </w:p>
          <w:p w14:paraId="61B53483" w14:textId="5E45AD66" w:rsidR="00CA712A" w:rsidRPr="00F06F25" w:rsidRDefault="00BC46FE" w:rsidP="00ED762E">
            <w:pPr>
              <w:pStyle w:val="ListParagraph"/>
              <w:numPr>
                <w:ilvl w:val="0"/>
                <w:numId w:val="3"/>
              </w:numPr>
              <w:ind w:left="196" w:right="44" w:hanging="285"/>
              <w:rPr>
                <w:b w:val="0"/>
              </w:rPr>
            </w:pPr>
            <w:r w:rsidRPr="00F06F25">
              <w:rPr>
                <w:b w:val="0"/>
              </w:rPr>
              <w:t>#</w:t>
            </w:r>
            <w:r w:rsidR="00941042" w:rsidRPr="00F06F25">
              <w:rPr>
                <w:b w:val="0"/>
              </w:rPr>
              <w:t xml:space="preserve"> of </w:t>
            </w:r>
            <w:r w:rsidR="00ED0142" w:rsidRPr="00F06F25">
              <w:rPr>
                <w:b w:val="0"/>
              </w:rPr>
              <w:t>awards</w:t>
            </w:r>
            <w:r w:rsidR="00941042" w:rsidRPr="00F06F25">
              <w:rPr>
                <w:b w:val="0"/>
              </w:rPr>
              <w:t xml:space="preserve"> processed</w:t>
            </w:r>
            <w:r w:rsidR="00F25920" w:rsidRPr="00F06F25">
              <w:rPr>
                <w:b w:val="0"/>
              </w:rPr>
              <w:t xml:space="preserve"> and/or funding rate</w:t>
            </w:r>
          </w:p>
          <w:p w14:paraId="7FAC6E69" w14:textId="3219F7C6" w:rsidR="00941042" w:rsidRPr="00F06F25" w:rsidRDefault="00ED0142" w:rsidP="00ED762E">
            <w:pPr>
              <w:pStyle w:val="ListParagraph"/>
              <w:numPr>
                <w:ilvl w:val="0"/>
                <w:numId w:val="2"/>
              </w:numPr>
              <w:ind w:left="196" w:right="44" w:hanging="285"/>
              <w:rPr>
                <w:b w:val="0"/>
              </w:rPr>
            </w:pPr>
            <w:r w:rsidRPr="00F06F25">
              <w:rPr>
                <w:b w:val="0"/>
              </w:rPr>
              <w:t># of s</w:t>
            </w:r>
            <w:r w:rsidR="00CA712A" w:rsidRPr="00F06F25">
              <w:rPr>
                <w:b w:val="0"/>
              </w:rPr>
              <w:t xml:space="preserve">uccesses in </w:t>
            </w:r>
            <w:r w:rsidR="0092703A" w:rsidRPr="00F06F25">
              <w:rPr>
                <w:b w:val="0"/>
              </w:rPr>
              <w:t>competitions</w:t>
            </w:r>
          </w:p>
        </w:tc>
        <w:tc>
          <w:tcPr>
            <w:tcW w:w="3011" w:type="dxa"/>
            <w:tcBorders>
              <w:top w:val="single" w:sz="8" w:space="0" w:color="9CC2E5"/>
              <w:left w:val="single" w:sz="8" w:space="0" w:color="9CC2E5"/>
              <w:bottom w:val="single" w:sz="8" w:space="0" w:color="9CC2E5"/>
              <w:right w:val="single" w:sz="8" w:space="0" w:color="9CC2E5"/>
            </w:tcBorders>
            <w:vAlign w:val="center"/>
          </w:tcPr>
          <w:p w14:paraId="1514B6C5" w14:textId="77777777" w:rsidR="00941042" w:rsidRPr="00F06F25" w:rsidRDefault="00941042" w:rsidP="005648A6">
            <w:pPr>
              <w:ind w:left="14"/>
              <w:jc w:val="center"/>
              <w:rPr>
                <w:b w:val="0"/>
              </w:rPr>
            </w:pPr>
            <w:r w:rsidRPr="00F06F25">
              <w:rPr>
                <w:b w:val="0"/>
              </w:rPr>
              <w:t>Portion of RSF funds invested to support this activity.</w:t>
            </w:r>
          </w:p>
        </w:tc>
        <w:tc>
          <w:tcPr>
            <w:tcW w:w="7110" w:type="dxa"/>
            <w:tcBorders>
              <w:top w:val="single" w:sz="8" w:space="0" w:color="9CC2E5"/>
              <w:left w:val="single" w:sz="8" w:space="0" w:color="9CC2E5"/>
              <w:bottom w:val="single" w:sz="8" w:space="0" w:color="9CC2E5"/>
              <w:right w:val="single" w:sz="8" w:space="0" w:color="9CC2E5"/>
            </w:tcBorders>
          </w:tcPr>
          <w:p w14:paraId="56B46A86" w14:textId="557256C3" w:rsidR="00F751A9" w:rsidRPr="00F06F25" w:rsidRDefault="00F751A9" w:rsidP="00ED762E">
            <w:pPr>
              <w:pStyle w:val="ListParagraph"/>
              <w:numPr>
                <w:ilvl w:val="0"/>
                <w:numId w:val="2"/>
              </w:numPr>
              <w:ind w:left="136" w:right="41" w:hanging="270"/>
              <w:rPr>
                <w:b w:val="0"/>
              </w:rPr>
            </w:pPr>
            <w:r w:rsidRPr="00F06F25">
              <w:rPr>
                <w:b w:val="0"/>
              </w:rPr>
              <w:t xml:space="preserve">post-award support </w:t>
            </w:r>
            <w:r w:rsidR="006C734A" w:rsidRPr="00F06F25">
              <w:rPr>
                <w:b w:val="0"/>
              </w:rPr>
              <w:t xml:space="preserve">is equal to or greater than in </w:t>
            </w:r>
            <w:r w:rsidR="00A82C7E">
              <w:rPr>
                <w:b w:val="0"/>
              </w:rPr>
              <w:t>2018-2019</w:t>
            </w:r>
          </w:p>
          <w:p w14:paraId="6267710B" w14:textId="62AF7143" w:rsidR="00941042" w:rsidRPr="00F06F25" w:rsidRDefault="006C734A" w:rsidP="00ED762E">
            <w:pPr>
              <w:pStyle w:val="ListParagraph"/>
              <w:numPr>
                <w:ilvl w:val="0"/>
                <w:numId w:val="2"/>
              </w:numPr>
              <w:ind w:left="136" w:right="41" w:hanging="270"/>
              <w:rPr>
                <w:b w:val="0"/>
              </w:rPr>
            </w:pPr>
            <w:r w:rsidRPr="00F06F25">
              <w:rPr>
                <w:b w:val="0"/>
              </w:rPr>
              <w:t>#</w:t>
            </w:r>
            <w:r w:rsidR="00941042" w:rsidRPr="00F06F25">
              <w:rPr>
                <w:b w:val="0"/>
              </w:rPr>
              <w:t xml:space="preserve"> of </w:t>
            </w:r>
            <w:r w:rsidR="00ED0142" w:rsidRPr="00F06F25">
              <w:rPr>
                <w:b w:val="0"/>
              </w:rPr>
              <w:t>awards</w:t>
            </w:r>
            <w:r w:rsidR="00941042" w:rsidRPr="00F06F25">
              <w:rPr>
                <w:b w:val="0"/>
              </w:rPr>
              <w:t xml:space="preserve"> and/or funding rate </w:t>
            </w:r>
            <w:r w:rsidRPr="00F06F25">
              <w:rPr>
                <w:b w:val="0"/>
              </w:rPr>
              <w:t xml:space="preserve">is equal to or greater </w:t>
            </w:r>
            <w:r w:rsidR="0016369F" w:rsidRPr="00F06F25">
              <w:rPr>
                <w:b w:val="0"/>
              </w:rPr>
              <w:t xml:space="preserve">than in </w:t>
            </w:r>
            <w:r w:rsidR="00A82C7E">
              <w:rPr>
                <w:b w:val="0"/>
              </w:rPr>
              <w:t>2018-2019</w:t>
            </w:r>
            <w:r w:rsidR="00941042" w:rsidRPr="00F06F25">
              <w:rPr>
                <w:b w:val="0"/>
              </w:rPr>
              <w:t xml:space="preserve">.  </w:t>
            </w:r>
          </w:p>
          <w:p w14:paraId="35688F15" w14:textId="294C84AE" w:rsidR="0092703A" w:rsidRPr="00F06F25" w:rsidRDefault="0092703A" w:rsidP="00ED762E">
            <w:pPr>
              <w:pStyle w:val="ListParagraph"/>
              <w:numPr>
                <w:ilvl w:val="0"/>
                <w:numId w:val="2"/>
              </w:numPr>
              <w:ind w:left="136" w:right="41" w:hanging="270"/>
              <w:rPr>
                <w:b w:val="0"/>
              </w:rPr>
            </w:pPr>
            <w:r w:rsidRPr="00F06F25">
              <w:rPr>
                <w:b w:val="0"/>
              </w:rPr>
              <w:t xml:space="preserve"># of successes in competitions from last year </w:t>
            </w:r>
            <w:r w:rsidR="006C734A" w:rsidRPr="00F06F25">
              <w:rPr>
                <w:b w:val="0"/>
              </w:rPr>
              <w:t>is equal to or greater than in</w:t>
            </w:r>
            <w:r w:rsidR="0016369F" w:rsidRPr="00F06F25">
              <w:rPr>
                <w:b w:val="0"/>
              </w:rPr>
              <w:t xml:space="preserve"> </w:t>
            </w:r>
            <w:r w:rsidR="00A82C7E">
              <w:rPr>
                <w:b w:val="0"/>
              </w:rPr>
              <w:t>2018-2019</w:t>
            </w:r>
          </w:p>
        </w:tc>
      </w:tr>
      <w:tr w:rsidR="00941042" w:rsidRPr="00F06F25" w14:paraId="78E2A1F6" w14:textId="77777777" w:rsidTr="00AA38E2">
        <w:trPr>
          <w:trHeight w:val="1375"/>
        </w:trPr>
        <w:tc>
          <w:tcPr>
            <w:tcW w:w="1890" w:type="dxa"/>
            <w:tcBorders>
              <w:top w:val="single" w:sz="8" w:space="0" w:color="9CC2E5"/>
              <w:left w:val="single" w:sz="8" w:space="0" w:color="9CC2E5"/>
              <w:bottom w:val="single" w:sz="8" w:space="0" w:color="9CC2E5"/>
              <w:right w:val="single" w:sz="8" w:space="0" w:color="9CC2E5"/>
            </w:tcBorders>
            <w:vAlign w:val="center"/>
          </w:tcPr>
          <w:p w14:paraId="22CF879F" w14:textId="77777777" w:rsidR="00941042" w:rsidRPr="006B36A4" w:rsidRDefault="00941042" w:rsidP="005648A6">
            <w:pPr>
              <w:spacing w:line="239" w:lineRule="auto"/>
              <w:jc w:val="center"/>
              <w:rPr>
                <w:b w:val="0"/>
                <w:color w:val="auto"/>
              </w:rPr>
            </w:pPr>
            <w:hyperlink r:id="rId31" w:anchor="requirements">
              <w:r w:rsidRPr="006B36A4">
                <w:rPr>
                  <w:b w:val="0"/>
                  <w:color w:val="auto"/>
                  <w:u w:color="0563C1"/>
                </w:rPr>
                <w:t>Regulatory</w:t>
              </w:r>
            </w:hyperlink>
            <w:hyperlink r:id="rId32" w:anchor="requirements">
              <w:r w:rsidRPr="006B36A4">
                <w:rPr>
                  <w:b w:val="0"/>
                  <w:color w:val="auto"/>
                </w:rPr>
                <w:t xml:space="preserve"> </w:t>
              </w:r>
            </w:hyperlink>
            <w:hyperlink r:id="rId33" w:anchor="requirements">
              <w:r w:rsidRPr="006B36A4">
                <w:rPr>
                  <w:b w:val="0"/>
                  <w:color w:val="auto"/>
                  <w:u w:color="0563C1"/>
                </w:rPr>
                <w:t>requirements</w:t>
              </w:r>
            </w:hyperlink>
            <w:hyperlink r:id="rId34" w:anchor="requirements">
              <w:r w:rsidRPr="006B36A4">
                <w:rPr>
                  <w:b w:val="0"/>
                  <w:color w:val="auto"/>
                </w:rPr>
                <w:t xml:space="preserve"> </w:t>
              </w:r>
            </w:hyperlink>
            <w:hyperlink r:id="rId35" w:anchor="requirements">
              <w:r w:rsidRPr="006B36A4">
                <w:rPr>
                  <w:b w:val="0"/>
                  <w:color w:val="auto"/>
                  <w:u w:color="0563C1"/>
                </w:rPr>
                <w:t>and</w:t>
              </w:r>
            </w:hyperlink>
            <w:hyperlink r:id="rId36" w:anchor="requirements">
              <w:r w:rsidRPr="006B36A4">
                <w:rPr>
                  <w:b w:val="0"/>
                  <w:color w:val="auto"/>
                </w:rPr>
                <w:t xml:space="preserve"> </w:t>
              </w:r>
            </w:hyperlink>
          </w:p>
          <w:p w14:paraId="0E9291DE" w14:textId="77777777" w:rsidR="00941042" w:rsidRPr="006B36A4" w:rsidRDefault="00941042" w:rsidP="005648A6">
            <w:pPr>
              <w:ind w:right="48"/>
              <w:jc w:val="center"/>
              <w:rPr>
                <w:b w:val="0"/>
                <w:color w:val="auto"/>
              </w:rPr>
            </w:pPr>
            <w:hyperlink r:id="rId37" w:anchor="requirements">
              <w:r w:rsidRPr="006B36A4">
                <w:rPr>
                  <w:b w:val="0"/>
                  <w:color w:val="auto"/>
                  <w:u w:color="0563C1"/>
                </w:rPr>
                <w:t>accreditation</w:t>
              </w:r>
            </w:hyperlink>
            <w:hyperlink r:id="rId38" w:anchor="requirements">
              <w:r w:rsidRPr="006B36A4">
                <w:rPr>
                  <w:b w:val="0"/>
                  <w:color w:val="auto"/>
                </w:rPr>
                <w:t xml:space="preserve"> </w:t>
              </w:r>
            </w:hyperlink>
          </w:p>
        </w:tc>
        <w:tc>
          <w:tcPr>
            <w:tcW w:w="2790" w:type="dxa"/>
            <w:tcBorders>
              <w:top w:val="single" w:sz="8" w:space="0" w:color="9CC2E5"/>
              <w:left w:val="single" w:sz="8" w:space="0" w:color="9CC2E5"/>
              <w:bottom w:val="single" w:sz="8" w:space="0" w:color="9CC2E5"/>
              <w:right w:val="single" w:sz="8" w:space="0" w:color="9CC2E5"/>
            </w:tcBorders>
            <w:vAlign w:val="center"/>
          </w:tcPr>
          <w:p w14:paraId="27F2A07B" w14:textId="77777777" w:rsidR="00941042" w:rsidRPr="00F06F25" w:rsidRDefault="0052700C" w:rsidP="005648A6">
            <w:pPr>
              <w:ind w:left="14"/>
              <w:jc w:val="center"/>
              <w:rPr>
                <w:b w:val="0"/>
              </w:rPr>
            </w:pPr>
            <w:r w:rsidRPr="00F06F25">
              <w:rPr>
                <w:b w:val="0"/>
              </w:rPr>
              <w:t>Provide effective and timely support for human ethics and animal care compliance activities</w:t>
            </w:r>
          </w:p>
        </w:tc>
        <w:tc>
          <w:tcPr>
            <w:tcW w:w="3919" w:type="dxa"/>
            <w:tcBorders>
              <w:top w:val="single" w:sz="8" w:space="0" w:color="9CC2E5"/>
              <w:left w:val="single" w:sz="8" w:space="0" w:color="9CC2E5"/>
              <w:bottom w:val="single" w:sz="8" w:space="0" w:color="9CC2E5"/>
              <w:right w:val="single" w:sz="8" w:space="0" w:color="9CC2E5"/>
            </w:tcBorders>
            <w:vAlign w:val="center"/>
          </w:tcPr>
          <w:p w14:paraId="22035651" w14:textId="77777777" w:rsidR="00BC46FE" w:rsidRPr="00F06F25" w:rsidRDefault="00BC46FE" w:rsidP="00ED762E">
            <w:pPr>
              <w:pStyle w:val="ListParagraph"/>
              <w:numPr>
                <w:ilvl w:val="0"/>
                <w:numId w:val="4"/>
              </w:numPr>
              <w:ind w:left="196" w:right="44" w:hanging="285"/>
              <w:rPr>
                <w:b w:val="0"/>
              </w:rPr>
            </w:pPr>
            <w:r w:rsidRPr="00F06F25">
              <w:rPr>
                <w:b w:val="0"/>
              </w:rPr>
              <w:t># of personnel dedicated to compliance</w:t>
            </w:r>
          </w:p>
          <w:p w14:paraId="75132DC6" w14:textId="1341FBDA" w:rsidR="00896B38" w:rsidRPr="00F06F25" w:rsidRDefault="00BC46FE" w:rsidP="00ED762E">
            <w:pPr>
              <w:pStyle w:val="ListParagraph"/>
              <w:numPr>
                <w:ilvl w:val="0"/>
                <w:numId w:val="4"/>
              </w:numPr>
              <w:ind w:left="196" w:right="44" w:hanging="285"/>
              <w:rPr>
                <w:b w:val="0"/>
              </w:rPr>
            </w:pPr>
            <w:r w:rsidRPr="00F06F25">
              <w:rPr>
                <w:b w:val="0"/>
              </w:rPr>
              <w:t>#</w:t>
            </w:r>
            <w:r w:rsidR="0052700C" w:rsidRPr="00F06F25">
              <w:rPr>
                <w:b w:val="0"/>
              </w:rPr>
              <w:t xml:space="preserve"> of active </w:t>
            </w:r>
            <w:r w:rsidR="00F25920" w:rsidRPr="00F06F25">
              <w:rPr>
                <w:b w:val="0"/>
              </w:rPr>
              <w:t>ethics</w:t>
            </w:r>
            <w:r w:rsidR="0052700C" w:rsidRPr="00F06F25">
              <w:rPr>
                <w:b w:val="0"/>
              </w:rPr>
              <w:t xml:space="preserve"> certificates</w:t>
            </w:r>
          </w:p>
          <w:p w14:paraId="7BD008A6" w14:textId="77777777" w:rsidR="00896B38" w:rsidRPr="00F06F25" w:rsidRDefault="00BC46FE" w:rsidP="00ED762E">
            <w:pPr>
              <w:pStyle w:val="ListParagraph"/>
              <w:numPr>
                <w:ilvl w:val="0"/>
                <w:numId w:val="4"/>
              </w:numPr>
              <w:ind w:left="196" w:right="44" w:hanging="285"/>
              <w:rPr>
                <w:b w:val="0"/>
              </w:rPr>
            </w:pPr>
            <w:r w:rsidRPr="00F06F25">
              <w:rPr>
                <w:b w:val="0"/>
              </w:rPr>
              <w:t>#</w:t>
            </w:r>
            <w:r w:rsidR="00896B38" w:rsidRPr="00F06F25">
              <w:rPr>
                <w:b w:val="0"/>
              </w:rPr>
              <w:t xml:space="preserve"> of ethics presentations</w:t>
            </w:r>
          </w:p>
        </w:tc>
        <w:tc>
          <w:tcPr>
            <w:tcW w:w="3011" w:type="dxa"/>
            <w:tcBorders>
              <w:top w:val="single" w:sz="8" w:space="0" w:color="9CC2E5"/>
              <w:left w:val="single" w:sz="8" w:space="0" w:color="9CC2E5"/>
              <w:bottom w:val="single" w:sz="8" w:space="0" w:color="9CC2E5"/>
              <w:right w:val="single" w:sz="8" w:space="0" w:color="9CC2E5"/>
            </w:tcBorders>
            <w:vAlign w:val="center"/>
          </w:tcPr>
          <w:p w14:paraId="76E8D518" w14:textId="77777777" w:rsidR="00941042" w:rsidRPr="00F06F25" w:rsidRDefault="00941042" w:rsidP="005648A6">
            <w:pPr>
              <w:ind w:left="14"/>
              <w:jc w:val="center"/>
              <w:rPr>
                <w:b w:val="0"/>
              </w:rPr>
            </w:pPr>
            <w:r w:rsidRPr="00F06F25">
              <w:rPr>
                <w:b w:val="0"/>
              </w:rPr>
              <w:t>Portion of RSF funds invested to support this activity.</w:t>
            </w:r>
          </w:p>
        </w:tc>
        <w:tc>
          <w:tcPr>
            <w:tcW w:w="7110" w:type="dxa"/>
            <w:tcBorders>
              <w:top w:val="single" w:sz="8" w:space="0" w:color="9CC2E5"/>
              <w:left w:val="single" w:sz="8" w:space="0" w:color="9CC2E5"/>
              <w:bottom w:val="single" w:sz="8" w:space="0" w:color="9CC2E5"/>
              <w:right w:val="single" w:sz="8" w:space="0" w:color="9CC2E5"/>
            </w:tcBorders>
          </w:tcPr>
          <w:p w14:paraId="5D43DF3F" w14:textId="0130FC6F" w:rsidR="00941042" w:rsidRPr="00F06F25" w:rsidRDefault="006C734A" w:rsidP="00ED762E">
            <w:pPr>
              <w:pStyle w:val="ListParagraph"/>
              <w:numPr>
                <w:ilvl w:val="0"/>
                <w:numId w:val="5"/>
              </w:numPr>
              <w:ind w:left="136" w:hanging="270"/>
              <w:rPr>
                <w:b w:val="0"/>
              </w:rPr>
            </w:pPr>
            <w:r w:rsidRPr="00F06F25">
              <w:rPr>
                <w:b w:val="0"/>
              </w:rPr>
              <w:t>#</w:t>
            </w:r>
            <w:r w:rsidR="00941042" w:rsidRPr="00F06F25">
              <w:rPr>
                <w:b w:val="0"/>
              </w:rPr>
              <w:t xml:space="preserve"> </w:t>
            </w:r>
            <w:r w:rsidR="003C58CF" w:rsidRPr="00F06F25">
              <w:rPr>
                <w:b w:val="0"/>
              </w:rPr>
              <w:t xml:space="preserve">of </w:t>
            </w:r>
            <w:r w:rsidR="006247D9" w:rsidRPr="00F06F25">
              <w:rPr>
                <w:b w:val="0"/>
              </w:rPr>
              <w:t xml:space="preserve">new </w:t>
            </w:r>
            <w:r w:rsidR="00896B38" w:rsidRPr="00F06F25">
              <w:rPr>
                <w:b w:val="0"/>
              </w:rPr>
              <w:t>ethics protocols (human/animal care/biohazards)</w:t>
            </w:r>
            <w:r w:rsidR="0052700C" w:rsidRPr="00F06F25">
              <w:rPr>
                <w:b w:val="0"/>
              </w:rPr>
              <w:t xml:space="preserve"> </w:t>
            </w:r>
            <w:r w:rsidR="00BC46FE" w:rsidRPr="00F06F25">
              <w:rPr>
                <w:b w:val="0"/>
              </w:rPr>
              <w:t xml:space="preserve">are equal to or greater than </w:t>
            </w:r>
            <w:r w:rsidR="0016369F" w:rsidRPr="00F06F25">
              <w:rPr>
                <w:b w:val="0"/>
              </w:rPr>
              <w:t xml:space="preserve">in </w:t>
            </w:r>
            <w:r w:rsidR="00A82C7E">
              <w:rPr>
                <w:b w:val="0"/>
              </w:rPr>
              <w:t>2018-2019</w:t>
            </w:r>
            <w:r w:rsidR="0052700C" w:rsidRPr="00F06F25">
              <w:rPr>
                <w:b w:val="0"/>
              </w:rPr>
              <w:t>.</w:t>
            </w:r>
            <w:r w:rsidR="00941042" w:rsidRPr="00F06F25">
              <w:rPr>
                <w:b w:val="0"/>
              </w:rPr>
              <w:t xml:space="preserve">  </w:t>
            </w:r>
          </w:p>
          <w:p w14:paraId="0FD85286" w14:textId="6D15C597" w:rsidR="00896B38" w:rsidRPr="00F06F25" w:rsidRDefault="00896B38" w:rsidP="00ED762E">
            <w:pPr>
              <w:pStyle w:val="ListParagraph"/>
              <w:numPr>
                <w:ilvl w:val="0"/>
                <w:numId w:val="5"/>
              </w:numPr>
              <w:ind w:left="136" w:hanging="270"/>
              <w:rPr>
                <w:b w:val="0"/>
              </w:rPr>
            </w:pPr>
            <w:r w:rsidRPr="00F06F25">
              <w:rPr>
                <w:b w:val="0"/>
              </w:rPr>
              <w:t xml:space="preserve">Ethics presentations are equal </w:t>
            </w:r>
            <w:r w:rsidR="00BC46FE" w:rsidRPr="00F06F25">
              <w:rPr>
                <w:b w:val="0"/>
              </w:rPr>
              <w:t xml:space="preserve">to </w:t>
            </w:r>
            <w:r w:rsidRPr="00F06F25">
              <w:rPr>
                <w:b w:val="0"/>
              </w:rPr>
              <w:t xml:space="preserve">or greater than </w:t>
            </w:r>
            <w:r w:rsidR="0016369F" w:rsidRPr="00F06F25">
              <w:rPr>
                <w:b w:val="0"/>
              </w:rPr>
              <w:t xml:space="preserve">in </w:t>
            </w:r>
            <w:r w:rsidR="00A82C7E">
              <w:rPr>
                <w:b w:val="0"/>
              </w:rPr>
              <w:t>2018-2019</w:t>
            </w:r>
          </w:p>
        </w:tc>
      </w:tr>
      <w:tr w:rsidR="00941042" w:rsidRPr="00F06F25" w14:paraId="6F07835C" w14:textId="77777777" w:rsidTr="00AA38E2">
        <w:trPr>
          <w:trHeight w:val="1321"/>
        </w:trPr>
        <w:tc>
          <w:tcPr>
            <w:tcW w:w="1890" w:type="dxa"/>
            <w:tcBorders>
              <w:top w:val="single" w:sz="8" w:space="0" w:color="9CC2E5"/>
              <w:left w:val="single" w:sz="8" w:space="0" w:color="9CC2E5"/>
              <w:bottom w:val="single" w:sz="8" w:space="0" w:color="9CC2E5"/>
              <w:right w:val="single" w:sz="8" w:space="0" w:color="9CC2E5"/>
            </w:tcBorders>
            <w:vAlign w:val="center"/>
          </w:tcPr>
          <w:p w14:paraId="296C5EEB" w14:textId="7FDA0E93" w:rsidR="00941042" w:rsidRPr="006B36A4" w:rsidRDefault="00941042" w:rsidP="005648A6">
            <w:pPr>
              <w:jc w:val="center"/>
              <w:rPr>
                <w:b w:val="0"/>
                <w:color w:val="auto"/>
              </w:rPr>
            </w:pPr>
            <w:hyperlink r:id="rId39" w:anchor="intellectual_property">
              <w:r w:rsidRPr="006B36A4">
                <w:rPr>
                  <w:b w:val="0"/>
                  <w:color w:val="auto"/>
                  <w:u w:color="0563C1"/>
                </w:rPr>
                <w:t>Intellectual</w:t>
              </w:r>
            </w:hyperlink>
            <w:hyperlink r:id="rId40" w:anchor="intellectual_property">
              <w:r w:rsidRPr="006B36A4">
                <w:rPr>
                  <w:b w:val="0"/>
                  <w:color w:val="auto"/>
                </w:rPr>
                <w:t xml:space="preserve"> </w:t>
              </w:r>
            </w:hyperlink>
            <w:hyperlink r:id="rId41" w:anchor="intellectual_property">
              <w:r w:rsidRPr="006B36A4">
                <w:rPr>
                  <w:b w:val="0"/>
                  <w:color w:val="auto"/>
                  <w:u w:color="0563C1"/>
                </w:rPr>
                <w:t>property</w:t>
              </w:r>
            </w:hyperlink>
            <w:hyperlink r:id="rId42" w:anchor="intellectual_property">
              <w:r w:rsidRPr="006B36A4">
                <w:rPr>
                  <w:b w:val="0"/>
                  <w:color w:val="auto"/>
                </w:rPr>
                <w:t xml:space="preserve"> </w:t>
              </w:r>
            </w:hyperlink>
          </w:p>
        </w:tc>
        <w:tc>
          <w:tcPr>
            <w:tcW w:w="2790" w:type="dxa"/>
            <w:tcBorders>
              <w:top w:val="single" w:sz="8" w:space="0" w:color="9CC2E5"/>
              <w:left w:val="single" w:sz="8" w:space="0" w:color="9CC2E5"/>
              <w:bottom w:val="single" w:sz="8" w:space="0" w:color="9CC2E5"/>
              <w:right w:val="single" w:sz="8" w:space="0" w:color="9CC2E5"/>
            </w:tcBorders>
            <w:vAlign w:val="center"/>
          </w:tcPr>
          <w:p w14:paraId="3D821D49" w14:textId="77777777" w:rsidR="00941042" w:rsidRPr="00F06F25" w:rsidRDefault="00E14003" w:rsidP="005648A6">
            <w:pPr>
              <w:ind w:left="14"/>
              <w:jc w:val="center"/>
              <w:rPr>
                <w:b w:val="0"/>
              </w:rPr>
            </w:pPr>
            <w:r w:rsidRPr="00F06F25">
              <w:rPr>
                <w:b w:val="0"/>
              </w:rPr>
              <w:t>S</w:t>
            </w:r>
            <w:r w:rsidR="00E250BA" w:rsidRPr="00F06F25">
              <w:rPr>
                <w:b w:val="0"/>
              </w:rPr>
              <w:t>upport</w:t>
            </w:r>
          </w:p>
          <w:p w14:paraId="43AA5109" w14:textId="77777777" w:rsidR="00941042" w:rsidRPr="00F06F25" w:rsidRDefault="00941042" w:rsidP="005648A6">
            <w:pPr>
              <w:ind w:left="14"/>
              <w:jc w:val="center"/>
              <w:rPr>
                <w:b w:val="0"/>
              </w:rPr>
            </w:pPr>
            <w:r w:rsidRPr="00F06F25">
              <w:rPr>
                <w:b w:val="0"/>
              </w:rPr>
              <w:t>commercialization</w:t>
            </w:r>
          </w:p>
          <w:p w14:paraId="77F3A61A" w14:textId="77777777" w:rsidR="00941042" w:rsidRPr="00F06F25" w:rsidRDefault="00941042" w:rsidP="005648A6">
            <w:pPr>
              <w:ind w:left="14"/>
              <w:jc w:val="center"/>
              <w:rPr>
                <w:b w:val="0"/>
              </w:rPr>
            </w:pPr>
            <w:r w:rsidRPr="00F06F25">
              <w:rPr>
                <w:b w:val="0"/>
              </w:rPr>
              <w:t>activity on campus</w:t>
            </w:r>
          </w:p>
        </w:tc>
        <w:tc>
          <w:tcPr>
            <w:tcW w:w="3919" w:type="dxa"/>
            <w:tcBorders>
              <w:top w:val="single" w:sz="8" w:space="0" w:color="9CC2E5"/>
              <w:left w:val="single" w:sz="8" w:space="0" w:color="9CC2E5"/>
              <w:bottom w:val="single" w:sz="8" w:space="0" w:color="9CC2E5"/>
              <w:right w:val="single" w:sz="8" w:space="0" w:color="9CC2E5"/>
            </w:tcBorders>
            <w:vAlign w:val="center"/>
          </w:tcPr>
          <w:p w14:paraId="757D49E7" w14:textId="287C8D50" w:rsidR="0016369F" w:rsidRPr="00F06F25" w:rsidRDefault="0016369F" w:rsidP="00ED762E">
            <w:pPr>
              <w:pStyle w:val="ListParagraph"/>
              <w:numPr>
                <w:ilvl w:val="0"/>
                <w:numId w:val="4"/>
              </w:numPr>
              <w:spacing w:line="259" w:lineRule="auto"/>
              <w:ind w:left="196" w:right="44" w:hanging="285"/>
              <w:rPr>
                <w:b w:val="0"/>
              </w:rPr>
            </w:pPr>
            <w:r w:rsidRPr="00F06F25">
              <w:rPr>
                <w:b w:val="0"/>
              </w:rPr>
              <w:t># of personnel dedicated to IP, commercialization and industry partnerships</w:t>
            </w:r>
          </w:p>
          <w:p w14:paraId="51F80C1C" w14:textId="5CBC7199" w:rsidR="00BC46FE" w:rsidRPr="00F06F25" w:rsidRDefault="00BC46FE" w:rsidP="0016369F">
            <w:pPr>
              <w:spacing w:line="241" w:lineRule="auto"/>
              <w:ind w:left="196" w:right="44"/>
              <w:rPr>
                <w:b w:val="0"/>
              </w:rPr>
            </w:pPr>
          </w:p>
        </w:tc>
        <w:tc>
          <w:tcPr>
            <w:tcW w:w="3011" w:type="dxa"/>
            <w:tcBorders>
              <w:top w:val="single" w:sz="8" w:space="0" w:color="9CC2E5"/>
              <w:left w:val="single" w:sz="8" w:space="0" w:color="9CC2E5"/>
              <w:bottom w:val="single" w:sz="8" w:space="0" w:color="9CC2E5"/>
              <w:right w:val="single" w:sz="8" w:space="0" w:color="9CC2E5"/>
            </w:tcBorders>
            <w:vAlign w:val="center"/>
          </w:tcPr>
          <w:p w14:paraId="33F56ADC" w14:textId="77777777" w:rsidR="00941042" w:rsidRPr="00F06F25" w:rsidRDefault="00941042" w:rsidP="005648A6">
            <w:pPr>
              <w:ind w:left="14"/>
              <w:jc w:val="center"/>
              <w:rPr>
                <w:b w:val="0"/>
              </w:rPr>
            </w:pPr>
            <w:r w:rsidRPr="00F06F25">
              <w:rPr>
                <w:b w:val="0"/>
              </w:rPr>
              <w:t>Portion of RSF funds invested to support this activity.</w:t>
            </w:r>
          </w:p>
        </w:tc>
        <w:tc>
          <w:tcPr>
            <w:tcW w:w="7110" w:type="dxa"/>
            <w:tcBorders>
              <w:top w:val="single" w:sz="8" w:space="0" w:color="9CC2E5"/>
              <w:left w:val="single" w:sz="8" w:space="0" w:color="9CC2E5"/>
              <w:bottom w:val="single" w:sz="8" w:space="0" w:color="9CC2E5"/>
              <w:right w:val="single" w:sz="8" w:space="0" w:color="9CC2E5"/>
            </w:tcBorders>
            <w:vAlign w:val="center"/>
          </w:tcPr>
          <w:p w14:paraId="691147D8" w14:textId="746C5B66" w:rsidR="00941042" w:rsidRPr="00F06F25" w:rsidRDefault="006C734A" w:rsidP="00ED762E">
            <w:pPr>
              <w:pStyle w:val="ListParagraph"/>
              <w:numPr>
                <w:ilvl w:val="0"/>
                <w:numId w:val="7"/>
              </w:numPr>
              <w:ind w:left="136" w:right="23" w:hanging="270"/>
              <w:rPr>
                <w:b w:val="0"/>
              </w:rPr>
            </w:pPr>
            <w:r w:rsidRPr="00F06F25">
              <w:rPr>
                <w:b w:val="0"/>
              </w:rPr>
              <w:t>#</w:t>
            </w:r>
            <w:r w:rsidR="00941042" w:rsidRPr="00F06F25">
              <w:rPr>
                <w:b w:val="0"/>
              </w:rPr>
              <w:t xml:space="preserve"> of IP disclosures</w:t>
            </w:r>
            <w:r w:rsidR="00BC46FE" w:rsidRPr="00F06F25">
              <w:rPr>
                <w:b w:val="0"/>
              </w:rPr>
              <w:t>, patent applications</w:t>
            </w:r>
            <w:r w:rsidR="00941042" w:rsidRPr="00F06F25">
              <w:rPr>
                <w:b w:val="0"/>
              </w:rPr>
              <w:t xml:space="preserve"> </w:t>
            </w:r>
            <w:r w:rsidR="006247D9" w:rsidRPr="00F06F25">
              <w:rPr>
                <w:b w:val="0"/>
              </w:rPr>
              <w:t>and/</w:t>
            </w:r>
            <w:r w:rsidR="00941042" w:rsidRPr="00F06F25">
              <w:rPr>
                <w:b w:val="0"/>
              </w:rPr>
              <w:t xml:space="preserve">or interactions </w:t>
            </w:r>
            <w:r w:rsidR="00896B38" w:rsidRPr="00F06F25">
              <w:rPr>
                <w:b w:val="0"/>
              </w:rPr>
              <w:t xml:space="preserve">is equal to or greater than in </w:t>
            </w:r>
            <w:r w:rsidR="00A82C7E">
              <w:rPr>
                <w:b w:val="0"/>
              </w:rPr>
              <w:t>2018-2019</w:t>
            </w:r>
            <w:r w:rsidR="00896B38" w:rsidRPr="00F06F25">
              <w:rPr>
                <w:b w:val="0"/>
              </w:rPr>
              <w:t>.</w:t>
            </w:r>
          </w:p>
          <w:p w14:paraId="56FE2613" w14:textId="36E0AAC9" w:rsidR="00F24796" w:rsidRPr="00F06F25" w:rsidRDefault="00F24796" w:rsidP="0016369F">
            <w:pPr>
              <w:ind w:right="23"/>
              <w:rPr>
                <w:b w:val="0"/>
              </w:rPr>
            </w:pPr>
          </w:p>
        </w:tc>
      </w:tr>
    </w:tbl>
    <w:p w14:paraId="6D2E6A8A" w14:textId="77777777" w:rsidR="004E59FB" w:rsidRDefault="001F1CEB" w:rsidP="00094497">
      <w:pPr>
        <w:rPr>
          <w:b w:val="0"/>
        </w:rPr>
      </w:pPr>
      <w:r w:rsidRPr="00F06F25">
        <w:rPr>
          <w:b w:val="0"/>
        </w:rPr>
        <w:lastRenderedPageBreak/>
        <w:t xml:space="preserve"> </w:t>
      </w:r>
    </w:p>
    <w:p w14:paraId="55F30647" w14:textId="0A72B24A" w:rsidR="00147EB5" w:rsidRPr="004E59FB" w:rsidRDefault="00147FD7" w:rsidP="00094497">
      <w:pPr>
        <w:rPr>
          <w:b w:val="0"/>
        </w:rPr>
      </w:pPr>
      <w:r w:rsidRPr="00F06F25">
        <w:t>I</w:t>
      </w:r>
      <w:r w:rsidR="00147EB5" w:rsidRPr="00F06F25">
        <w:t>ncremental Project Grant 202</w:t>
      </w:r>
      <w:r w:rsidR="00C35EF8">
        <w:t>6</w:t>
      </w:r>
      <w:r w:rsidR="00147EB5" w:rsidRPr="00F06F25">
        <w:t>-202</w:t>
      </w:r>
      <w:r w:rsidR="00C35EF8">
        <w:t>7</w:t>
      </w:r>
      <w:r w:rsidR="00147EB5" w:rsidRPr="00F06F25">
        <w:t xml:space="preserve"> </w:t>
      </w:r>
    </w:p>
    <w:p w14:paraId="4642F5F1" w14:textId="77777777" w:rsidR="00DC70D4" w:rsidRPr="00F06F25" w:rsidRDefault="00DC70D4" w:rsidP="00094497"/>
    <w:tbl>
      <w:tblPr>
        <w:tblW w:w="18628" w:type="dxa"/>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CellMar>
          <w:top w:w="15" w:type="dxa"/>
          <w:left w:w="15" w:type="dxa"/>
          <w:bottom w:w="15" w:type="dxa"/>
          <w:right w:w="15" w:type="dxa"/>
        </w:tblCellMar>
        <w:tblLook w:val="04A0" w:firstRow="1" w:lastRow="0" w:firstColumn="1" w:lastColumn="0" w:noHBand="0" w:noVBand="1"/>
      </w:tblPr>
      <w:tblGrid>
        <w:gridCol w:w="1611"/>
        <w:gridCol w:w="1353"/>
        <w:gridCol w:w="1530"/>
        <w:gridCol w:w="1735"/>
        <w:gridCol w:w="6663"/>
        <w:gridCol w:w="5736"/>
      </w:tblGrid>
      <w:tr w:rsidR="00147EB5" w:rsidRPr="00F06F25" w14:paraId="3D1D83C8" w14:textId="77777777" w:rsidTr="00E14B56">
        <w:trPr>
          <w:trHeight w:val="720"/>
          <w:jc w:val="center"/>
        </w:trPr>
        <w:tc>
          <w:tcPr>
            <w:tcW w:w="1611" w:type="dxa"/>
            <w:shd w:val="clear" w:color="auto" w:fill="4472C4" w:themeFill="accent5"/>
          </w:tcPr>
          <w:p w14:paraId="6744B79E" w14:textId="77777777" w:rsidR="00147EB5" w:rsidRPr="004E59FB" w:rsidRDefault="00147EB5" w:rsidP="00B16323">
            <w:pPr>
              <w:spacing w:line="240" w:lineRule="auto"/>
              <w:jc w:val="center"/>
              <w:rPr>
                <w:bCs/>
                <w:color w:val="FFFFFF" w:themeColor="background1"/>
              </w:rPr>
            </w:pPr>
            <w:r w:rsidRPr="004E59FB">
              <w:rPr>
                <w:bCs/>
                <w:color w:val="FFFFFF" w:themeColor="background1"/>
              </w:rPr>
              <w:t>Project Title</w:t>
            </w:r>
          </w:p>
        </w:tc>
        <w:tc>
          <w:tcPr>
            <w:tcW w:w="1353" w:type="dxa"/>
            <w:shd w:val="clear" w:color="auto" w:fill="4472C4" w:themeFill="accent5"/>
            <w:tcMar>
              <w:top w:w="120" w:type="dxa"/>
              <w:left w:w="120" w:type="dxa"/>
              <w:bottom w:w="120" w:type="dxa"/>
              <w:right w:w="120" w:type="dxa"/>
            </w:tcMar>
            <w:hideMark/>
          </w:tcPr>
          <w:p w14:paraId="524522D5" w14:textId="77777777" w:rsidR="00147EB5" w:rsidRPr="004E59FB" w:rsidRDefault="00147EB5" w:rsidP="00B16323">
            <w:pPr>
              <w:spacing w:line="240" w:lineRule="auto"/>
              <w:jc w:val="center"/>
              <w:rPr>
                <w:bCs/>
                <w:color w:val="FFFFFF" w:themeColor="background1"/>
              </w:rPr>
            </w:pPr>
            <w:r w:rsidRPr="004E59FB">
              <w:rPr>
                <w:bCs/>
                <w:color w:val="FFFFFF" w:themeColor="background1"/>
              </w:rPr>
              <w:t>IPG Priority Area</w:t>
            </w:r>
          </w:p>
        </w:tc>
        <w:tc>
          <w:tcPr>
            <w:tcW w:w="1530" w:type="dxa"/>
            <w:shd w:val="clear" w:color="auto" w:fill="4472C4" w:themeFill="accent5"/>
            <w:tcMar>
              <w:top w:w="120" w:type="dxa"/>
              <w:left w:w="120" w:type="dxa"/>
              <w:bottom w:w="120" w:type="dxa"/>
              <w:right w:w="120" w:type="dxa"/>
            </w:tcMar>
            <w:hideMark/>
          </w:tcPr>
          <w:p w14:paraId="41561793" w14:textId="77777777" w:rsidR="00147EB5" w:rsidRPr="004E59FB" w:rsidRDefault="00147EB5" w:rsidP="00B16323">
            <w:pPr>
              <w:spacing w:line="240" w:lineRule="auto"/>
              <w:jc w:val="center"/>
              <w:rPr>
                <w:bCs/>
                <w:color w:val="FFFFFF" w:themeColor="background1"/>
              </w:rPr>
            </w:pPr>
            <w:r w:rsidRPr="004E59FB">
              <w:rPr>
                <w:bCs/>
                <w:color w:val="FFFFFF" w:themeColor="background1"/>
              </w:rPr>
              <w:t>Output (investment of IPG grant funds)</w:t>
            </w:r>
          </w:p>
        </w:tc>
        <w:tc>
          <w:tcPr>
            <w:tcW w:w="1735" w:type="dxa"/>
            <w:shd w:val="clear" w:color="auto" w:fill="4472C4" w:themeFill="accent5"/>
            <w:tcMar>
              <w:top w:w="120" w:type="dxa"/>
              <w:left w:w="120" w:type="dxa"/>
              <w:bottom w:w="120" w:type="dxa"/>
              <w:right w:w="120" w:type="dxa"/>
            </w:tcMar>
            <w:hideMark/>
          </w:tcPr>
          <w:p w14:paraId="1ED34636" w14:textId="77777777" w:rsidR="00147EB5" w:rsidRPr="004E59FB" w:rsidRDefault="00147EB5" w:rsidP="00B16323">
            <w:pPr>
              <w:spacing w:line="240" w:lineRule="auto"/>
              <w:jc w:val="center"/>
              <w:rPr>
                <w:bCs/>
                <w:color w:val="FFFFFF" w:themeColor="background1"/>
              </w:rPr>
            </w:pPr>
            <w:r w:rsidRPr="004E59FB">
              <w:rPr>
                <w:bCs/>
                <w:color w:val="FFFFFF" w:themeColor="background1"/>
              </w:rPr>
              <w:t>Performance objective</w:t>
            </w:r>
          </w:p>
        </w:tc>
        <w:tc>
          <w:tcPr>
            <w:tcW w:w="6663" w:type="dxa"/>
            <w:shd w:val="clear" w:color="auto" w:fill="4472C4" w:themeFill="accent5"/>
            <w:tcMar>
              <w:top w:w="120" w:type="dxa"/>
              <w:left w:w="120" w:type="dxa"/>
              <w:bottom w:w="120" w:type="dxa"/>
              <w:right w:w="120" w:type="dxa"/>
            </w:tcMar>
            <w:hideMark/>
          </w:tcPr>
          <w:p w14:paraId="2A3936FF" w14:textId="77777777" w:rsidR="00147EB5" w:rsidRPr="004E59FB" w:rsidRDefault="00147EB5" w:rsidP="00B16323">
            <w:pPr>
              <w:spacing w:line="240" w:lineRule="auto"/>
              <w:ind w:hanging="119"/>
              <w:jc w:val="center"/>
              <w:rPr>
                <w:bCs/>
                <w:color w:val="FFFFFF" w:themeColor="background1"/>
              </w:rPr>
            </w:pPr>
            <w:r w:rsidRPr="004E59FB">
              <w:rPr>
                <w:bCs/>
                <w:color w:val="FFFFFF" w:themeColor="background1"/>
              </w:rPr>
              <w:t>Performance indicator</w:t>
            </w:r>
          </w:p>
        </w:tc>
        <w:tc>
          <w:tcPr>
            <w:tcW w:w="5736" w:type="dxa"/>
            <w:shd w:val="clear" w:color="auto" w:fill="4472C4" w:themeFill="accent5"/>
            <w:tcMar>
              <w:top w:w="120" w:type="dxa"/>
              <w:left w:w="120" w:type="dxa"/>
              <w:bottom w:w="120" w:type="dxa"/>
              <w:right w:w="120" w:type="dxa"/>
            </w:tcMar>
            <w:hideMark/>
          </w:tcPr>
          <w:p w14:paraId="6FFFA302" w14:textId="77777777" w:rsidR="00147EB5" w:rsidRPr="004E59FB" w:rsidRDefault="00147EB5" w:rsidP="00B16323">
            <w:pPr>
              <w:spacing w:line="240" w:lineRule="auto"/>
              <w:ind w:hanging="134"/>
              <w:jc w:val="center"/>
              <w:rPr>
                <w:bCs/>
                <w:color w:val="FFFFFF" w:themeColor="background1"/>
              </w:rPr>
            </w:pPr>
            <w:r w:rsidRPr="004E59FB">
              <w:rPr>
                <w:bCs/>
                <w:color w:val="FFFFFF" w:themeColor="background1"/>
              </w:rPr>
              <w:t>Target outcome</w:t>
            </w:r>
          </w:p>
        </w:tc>
      </w:tr>
      <w:tr w:rsidR="00147EB5" w:rsidRPr="00F06F25" w14:paraId="08DAE4DE" w14:textId="77777777" w:rsidTr="00E14B56">
        <w:trPr>
          <w:trHeight w:val="1161"/>
          <w:jc w:val="center"/>
        </w:trPr>
        <w:tc>
          <w:tcPr>
            <w:tcW w:w="1611" w:type="dxa"/>
            <w:vAlign w:val="center"/>
          </w:tcPr>
          <w:p w14:paraId="546FE4D4" w14:textId="48559292" w:rsidR="00147EB5" w:rsidRPr="00C35EF8" w:rsidRDefault="001A44A8" w:rsidP="00B16323">
            <w:pPr>
              <w:spacing w:line="240" w:lineRule="auto"/>
              <w:rPr>
                <w:rFonts w:eastAsia="Times New Roman"/>
                <w:b w:val="0"/>
              </w:rPr>
            </w:pPr>
            <w:r w:rsidRPr="00C35EF8">
              <w:rPr>
                <w:rFonts w:eastAsia="Times New Roman"/>
                <w:b w:val="0"/>
                <w:color w:val="auto"/>
              </w:rPr>
              <w:t xml:space="preserve">Research Financial Services </w:t>
            </w:r>
            <w:r w:rsidR="002A172D">
              <w:rPr>
                <w:rFonts w:eastAsia="Times New Roman"/>
                <w:b w:val="0"/>
                <w:color w:val="auto"/>
              </w:rPr>
              <w:t>Dedicated Major and Complex Funding Support Team</w:t>
            </w:r>
          </w:p>
        </w:tc>
        <w:tc>
          <w:tcPr>
            <w:tcW w:w="1353" w:type="dxa"/>
            <w:tcMar>
              <w:top w:w="120" w:type="dxa"/>
              <w:left w:w="120" w:type="dxa"/>
              <w:bottom w:w="120" w:type="dxa"/>
              <w:right w:w="120" w:type="dxa"/>
            </w:tcMar>
            <w:vAlign w:val="center"/>
            <w:hideMark/>
          </w:tcPr>
          <w:p w14:paraId="63AA88BB" w14:textId="77777777" w:rsidR="00147EB5" w:rsidRPr="00C35EF8" w:rsidRDefault="00101589" w:rsidP="00B16323">
            <w:pPr>
              <w:spacing w:line="240" w:lineRule="auto"/>
              <w:jc w:val="center"/>
              <w:rPr>
                <w:rFonts w:eastAsia="Times New Roman"/>
                <w:b w:val="0"/>
              </w:rPr>
            </w:pPr>
            <w:r w:rsidRPr="00C35EF8">
              <w:rPr>
                <w:rFonts w:eastAsia="Times New Roman"/>
                <w:b w:val="0"/>
              </w:rPr>
              <w:t>Information Resources</w:t>
            </w:r>
          </w:p>
        </w:tc>
        <w:tc>
          <w:tcPr>
            <w:tcW w:w="1530" w:type="dxa"/>
            <w:tcMar>
              <w:top w:w="120" w:type="dxa"/>
              <w:left w:w="120" w:type="dxa"/>
              <w:bottom w:w="120" w:type="dxa"/>
              <w:right w:w="120" w:type="dxa"/>
            </w:tcMar>
            <w:vAlign w:val="center"/>
            <w:hideMark/>
          </w:tcPr>
          <w:p w14:paraId="204C6778" w14:textId="6FAE8CAA" w:rsidR="002A172D" w:rsidRPr="002A172D" w:rsidRDefault="002A172D" w:rsidP="00B16323">
            <w:pPr>
              <w:spacing w:line="240" w:lineRule="auto"/>
              <w:ind w:left="14"/>
              <w:jc w:val="center"/>
              <w:rPr>
                <w:b w:val="0"/>
              </w:rPr>
            </w:pPr>
            <w:r>
              <w:rPr>
                <w:b w:val="0"/>
              </w:rPr>
              <w:t>$400k for financial analysts and related costs</w:t>
            </w:r>
          </w:p>
        </w:tc>
        <w:tc>
          <w:tcPr>
            <w:tcW w:w="1735" w:type="dxa"/>
            <w:tcMar>
              <w:top w:w="120" w:type="dxa"/>
              <w:left w:w="120" w:type="dxa"/>
              <w:bottom w:w="120" w:type="dxa"/>
              <w:right w:w="120" w:type="dxa"/>
            </w:tcMar>
            <w:vAlign w:val="center"/>
            <w:hideMark/>
          </w:tcPr>
          <w:p w14:paraId="23C90D16" w14:textId="0546FDE9" w:rsidR="00147EB5" w:rsidRPr="00C35EF8" w:rsidRDefault="00654403" w:rsidP="00B16323">
            <w:pPr>
              <w:spacing w:line="240" w:lineRule="auto"/>
              <w:ind w:left="14"/>
              <w:jc w:val="center"/>
              <w:rPr>
                <w:rFonts w:eastAsia="Times New Roman"/>
                <w:b w:val="0"/>
              </w:rPr>
            </w:pPr>
            <w:r w:rsidRPr="00C35EF8">
              <w:rPr>
                <w:rFonts w:eastAsia="Times New Roman"/>
                <w:b w:val="0"/>
              </w:rPr>
              <w:t>Support major and complex sponsored research awarded to the University</w:t>
            </w:r>
          </w:p>
        </w:tc>
        <w:tc>
          <w:tcPr>
            <w:tcW w:w="6663" w:type="dxa"/>
            <w:tcMar>
              <w:top w:w="120" w:type="dxa"/>
              <w:left w:w="120" w:type="dxa"/>
              <w:bottom w:w="120" w:type="dxa"/>
              <w:right w:w="120" w:type="dxa"/>
            </w:tcMar>
            <w:vAlign w:val="center"/>
            <w:hideMark/>
          </w:tcPr>
          <w:p w14:paraId="1D8F24CA" w14:textId="77777777" w:rsidR="00147FD7" w:rsidRPr="002E543D" w:rsidRDefault="00147FD7" w:rsidP="002E543D">
            <w:pPr>
              <w:pStyle w:val="ListParagraph"/>
              <w:numPr>
                <w:ilvl w:val="0"/>
                <w:numId w:val="13"/>
              </w:numPr>
              <w:spacing w:line="240" w:lineRule="auto"/>
              <w:ind w:left="397" w:hanging="284"/>
              <w:rPr>
                <w:b w:val="0"/>
                <w:bCs/>
              </w:rPr>
            </w:pPr>
            <w:bookmarkStart w:id="0" w:name="_Hlk156911455"/>
            <w:r w:rsidRPr="002E543D">
              <w:rPr>
                <w:b w:val="0"/>
                <w:bCs/>
              </w:rPr>
              <w:t>Identification of potential specific compliance issues related to the implementation of the risk-based approach and devising mitigation measures, including but not limited to targeted training.</w:t>
            </w:r>
            <w:bookmarkEnd w:id="0"/>
          </w:p>
          <w:p w14:paraId="17830E96" w14:textId="304467A2" w:rsidR="00147FD7" w:rsidRPr="002E543D" w:rsidRDefault="00147FD7" w:rsidP="002E543D">
            <w:pPr>
              <w:pStyle w:val="ListParagraph"/>
              <w:numPr>
                <w:ilvl w:val="0"/>
                <w:numId w:val="13"/>
              </w:numPr>
              <w:spacing w:line="240" w:lineRule="auto"/>
              <w:ind w:left="397" w:hanging="284"/>
              <w:rPr>
                <w:b w:val="0"/>
                <w:bCs/>
              </w:rPr>
            </w:pPr>
            <w:r w:rsidRPr="002E543D">
              <w:rPr>
                <w:b w:val="0"/>
                <w:bCs/>
              </w:rPr>
              <w:t>Developing and implementing modernized risk-based approach within current framework</w:t>
            </w:r>
          </w:p>
          <w:p w14:paraId="19D3429F" w14:textId="4B488BEA" w:rsidR="00147FD7" w:rsidRPr="002E543D" w:rsidRDefault="00147FD7" w:rsidP="002E543D">
            <w:pPr>
              <w:pStyle w:val="ListParagraph"/>
              <w:numPr>
                <w:ilvl w:val="0"/>
                <w:numId w:val="13"/>
              </w:numPr>
              <w:spacing w:line="240" w:lineRule="auto"/>
              <w:ind w:left="397" w:hanging="284"/>
              <w:rPr>
                <w:b w:val="0"/>
                <w:bCs/>
              </w:rPr>
            </w:pPr>
            <w:r w:rsidRPr="002E543D">
              <w:rPr>
                <w:b w:val="0"/>
                <w:bCs/>
              </w:rPr>
              <w:t>Identification of complex projects and creation of dedicated portfolio</w:t>
            </w:r>
          </w:p>
          <w:p w14:paraId="58AF9518" w14:textId="77777777" w:rsidR="00147FD7" w:rsidRPr="002E543D" w:rsidRDefault="00147FD7" w:rsidP="002E543D">
            <w:pPr>
              <w:pStyle w:val="ListParagraph"/>
              <w:numPr>
                <w:ilvl w:val="0"/>
                <w:numId w:val="13"/>
              </w:numPr>
              <w:spacing w:line="240" w:lineRule="auto"/>
              <w:ind w:left="397" w:hanging="284"/>
              <w:rPr>
                <w:b w:val="0"/>
                <w:bCs/>
              </w:rPr>
            </w:pPr>
            <w:bookmarkStart w:id="1" w:name="_Hlk156909663"/>
            <w:r w:rsidRPr="002E543D">
              <w:rPr>
                <w:b w:val="0"/>
                <w:bCs/>
              </w:rPr>
              <w:t>Forging and maintaining relationships with complex and large-scale research funding awardees in view of providing them financial analysis and management advice</w:t>
            </w:r>
          </w:p>
          <w:p w14:paraId="62F7908F"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Reduction in requests for extensions and return of residuals due to financial management to funders at the end of the use of funds periods per year over the next three years</w:t>
            </w:r>
          </w:p>
          <w:p w14:paraId="4E71ABCB" w14:textId="77777777" w:rsidR="00147FD7" w:rsidRPr="002E543D" w:rsidRDefault="00147FD7" w:rsidP="002E543D">
            <w:pPr>
              <w:pStyle w:val="ListParagraph"/>
              <w:numPr>
                <w:ilvl w:val="0"/>
                <w:numId w:val="13"/>
              </w:numPr>
              <w:spacing w:line="240" w:lineRule="auto"/>
              <w:ind w:left="397" w:hanging="284"/>
              <w:rPr>
                <w:b w:val="0"/>
                <w:bCs/>
              </w:rPr>
            </w:pPr>
            <w:bookmarkStart w:id="2" w:name="_Hlk156911501"/>
            <w:bookmarkEnd w:id="1"/>
            <w:r w:rsidRPr="002E543D">
              <w:rPr>
                <w:b w:val="0"/>
                <w:bCs/>
              </w:rPr>
              <w:t>Transaction risk verification threshold being raised from $1,000 to $2,000 within three years.</w:t>
            </w:r>
          </w:p>
          <w:p w14:paraId="783C5CE1" w14:textId="474A2C02" w:rsidR="00985EDE" w:rsidRPr="00C35EF8" w:rsidRDefault="00147FD7" w:rsidP="002E543D">
            <w:pPr>
              <w:pStyle w:val="ListParagraph"/>
              <w:numPr>
                <w:ilvl w:val="0"/>
                <w:numId w:val="13"/>
              </w:numPr>
              <w:spacing w:line="240" w:lineRule="auto"/>
              <w:ind w:left="397" w:hanging="284"/>
            </w:pPr>
            <w:bookmarkStart w:id="3" w:name="_Hlk156911882"/>
            <w:bookmarkEnd w:id="2"/>
            <w:r w:rsidRPr="002E543D">
              <w:rPr>
                <w:b w:val="0"/>
                <w:bCs/>
              </w:rPr>
              <w:t>Increased and synergistic collaboration between Finance and VPRI</w:t>
            </w:r>
            <w:r w:rsidR="002E543D">
              <w:rPr>
                <w:b w:val="0"/>
                <w:bCs/>
              </w:rPr>
              <w:t>I</w:t>
            </w:r>
            <w:r w:rsidRPr="002E543D">
              <w:rPr>
                <w:b w:val="0"/>
                <w:bCs/>
              </w:rPr>
              <w:t xml:space="preserve"> as it relates to the management of research funding.</w:t>
            </w:r>
            <w:bookmarkEnd w:id="3"/>
          </w:p>
        </w:tc>
        <w:tc>
          <w:tcPr>
            <w:tcW w:w="5736" w:type="dxa"/>
            <w:tcMar>
              <w:top w:w="120" w:type="dxa"/>
              <w:left w:w="120" w:type="dxa"/>
              <w:bottom w:w="120" w:type="dxa"/>
              <w:right w:w="120" w:type="dxa"/>
            </w:tcMar>
            <w:vAlign w:val="center"/>
            <w:hideMark/>
          </w:tcPr>
          <w:p w14:paraId="1A5702C9" w14:textId="77777777" w:rsidR="00147FD7" w:rsidRPr="00C35EF8" w:rsidRDefault="00147FD7" w:rsidP="002E543D">
            <w:pPr>
              <w:pStyle w:val="ListParagraph"/>
              <w:numPr>
                <w:ilvl w:val="0"/>
                <w:numId w:val="13"/>
              </w:numPr>
              <w:spacing w:line="240" w:lineRule="auto"/>
              <w:ind w:left="397" w:hanging="284"/>
              <w:rPr>
                <w:b w:val="0"/>
                <w:bCs/>
              </w:rPr>
            </w:pPr>
            <w:bookmarkStart w:id="4" w:name="_Hlk156911995"/>
            <w:r w:rsidRPr="00C35EF8">
              <w:rPr>
                <w:b w:val="0"/>
                <w:bCs/>
              </w:rPr>
              <w:t>Increased cooperation and understanding and support between Finance and VPRI of research related award management.</w:t>
            </w:r>
          </w:p>
          <w:p w14:paraId="17128FB8" w14:textId="77777777" w:rsidR="00147FD7" w:rsidRPr="00C35EF8" w:rsidRDefault="00147FD7" w:rsidP="002E543D">
            <w:pPr>
              <w:pStyle w:val="ListParagraph"/>
              <w:numPr>
                <w:ilvl w:val="0"/>
                <w:numId w:val="13"/>
              </w:numPr>
              <w:spacing w:line="240" w:lineRule="auto"/>
              <w:ind w:left="397" w:hanging="284"/>
              <w:rPr>
                <w:b w:val="0"/>
                <w:bCs/>
              </w:rPr>
            </w:pPr>
            <w:r w:rsidRPr="00C35EF8">
              <w:rPr>
                <w:b w:val="0"/>
                <w:bCs/>
              </w:rPr>
              <w:t>Increased research funding to the University via the provision of financial analysis and award monitoring leading to increased applications by researchers for major and complex awards, maximized award funding, timely invoicing and collection of outstanding payment collection.</w:t>
            </w:r>
          </w:p>
          <w:p w14:paraId="3E20503F" w14:textId="77777777" w:rsidR="00147FD7" w:rsidRPr="00C35EF8" w:rsidRDefault="00147FD7" w:rsidP="002E543D">
            <w:pPr>
              <w:pStyle w:val="ListParagraph"/>
              <w:numPr>
                <w:ilvl w:val="0"/>
                <w:numId w:val="13"/>
              </w:numPr>
              <w:spacing w:line="240" w:lineRule="auto"/>
              <w:ind w:left="397" w:hanging="284"/>
              <w:rPr>
                <w:b w:val="0"/>
                <w:bCs/>
              </w:rPr>
            </w:pPr>
            <w:r w:rsidRPr="00C35EF8">
              <w:rPr>
                <w:b w:val="0"/>
                <w:bCs/>
              </w:rPr>
              <w:t xml:space="preserve">Improved researcher financial literacy and post-award management satisfaction through award management guidance and research related expense processing on major and complex funding opportunities. </w:t>
            </w:r>
          </w:p>
          <w:p w14:paraId="78B368E2" w14:textId="77777777" w:rsidR="00147FD7" w:rsidRPr="00C35EF8" w:rsidRDefault="00147FD7" w:rsidP="002E543D">
            <w:pPr>
              <w:pStyle w:val="ListParagraph"/>
              <w:numPr>
                <w:ilvl w:val="0"/>
                <w:numId w:val="13"/>
              </w:numPr>
              <w:spacing w:line="240" w:lineRule="auto"/>
              <w:ind w:left="397" w:hanging="284"/>
              <w:rPr>
                <w:b w:val="0"/>
                <w:bCs/>
              </w:rPr>
            </w:pPr>
            <w:bookmarkStart w:id="5" w:name="_Hlk156911550"/>
            <w:r w:rsidRPr="00C35EF8">
              <w:rPr>
                <w:b w:val="0"/>
                <w:bCs/>
              </w:rPr>
              <w:t>Strengthened accountability to funders through timely responses and scrupulous follow through on deliverables within specified deadlines.</w:t>
            </w:r>
          </w:p>
          <w:p w14:paraId="67FA4FF9" w14:textId="5E8A41D4" w:rsidR="00147EB5" w:rsidRPr="00C35EF8" w:rsidRDefault="00147FD7" w:rsidP="002E543D">
            <w:pPr>
              <w:pStyle w:val="ListParagraph"/>
              <w:numPr>
                <w:ilvl w:val="0"/>
                <w:numId w:val="13"/>
              </w:numPr>
              <w:spacing w:line="240" w:lineRule="auto"/>
              <w:ind w:left="397" w:hanging="284"/>
              <w:rPr>
                <w:b w:val="0"/>
                <w:bCs/>
              </w:rPr>
            </w:pPr>
            <w:r w:rsidRPr="00C35EF8">
              <w:rPr>
                <w:b w:val="0"/>
                <w:bCs/>
              </w:rPr>
              <w:t>Improved institutional reputation.</w:t>
            </w:r>
            <w:bookmarkEnd w:id="4"/>
            <w:bookmarkEnd w:id="5"/>
          </w:p>
        </w:tc>
      </w:tr>
      <w:tr w:rsidR="00147FD7" w:rsidRPr="00F06F25" w14:paraId="0EFE3C6E" w14:textId="77777777" w:rsidTr="006A254E">
        <w:tblPrEx>
          <w:shd w:val="clear" w:color="auto" w:fill="FFFFFF"/>
        </w:tblPrEx>
        <w:trPr>
          <w:trHeight w:val="2284"/>
          <w:jc w:val="center"/>
        </w:trPr>
        <w:tc>
          <w:tcPr>
            <w:tcW w:w="1611" w:type="dxa"/>
            <w:vAlign w:val="center"/>
          </w:tcPr>
          <w:p w14:paraId="7CC53186" w14:textId="74822EAA" w:rsidR="00147FD7" w:rsidRPr="00F06F25" w:rsidRDefault="00B77C4E" w:rsidP="005648A6">
            <w:pPr>
              <w:spacing w:line="240" w:lineRule="auto"/>
              <w:rPr>
                <w:b w:val="0"/>
                <w:bCs/>
              </w:rPr>
            </w:pPr>
            <w:r w:rsidRPr="00F06F25">
              <w:br w:type="page"/>
            </w:r>
            <w:r w:rsidR="00147FD7" w:rsidRPr="00F06F25">
              <w:rPr>
                <w:b w:val="0"/>
                <w:bCs/>
                <w:lang w:val="en-US"/>
              </w:rPr>
              <w:t>Research Management System Improvemen</w:t>
            </w:r>
            <w:r w:rsidR="007D16E8" w:rsidRPr="00F06F25">
              <w:rPr>
                <w:b w:val="0"/>
                <w:bCs/>
                <w:lang w:val="en-US"/>
              </w:rPr>
              <w:t>t</w:t>
            </w:r>
          </w:p>
        </w:tc>
        <w:tc>
          <w:tcPr>
            <w:tcW w:w="1353" w:type="dxa"/>
            <w:tcMar>
              <w:top w:w="120" w:type="dxa"/>
              <w:left w:w="120" w:type="dxa"/>
              <w:bottom w:w="120" w:type="dxa"/>
              <w:right w:w="120" w:type="dxa"/>
            </w:tcMar>
            <w:vAlign w:val="center"/>
          </w:tcPr>
          <w:p w14:paraId="3409E854" w14:textId="6C6000F1" w:rsidR="00147FD7" w:rsidRPr="00F06F25" w:rsidRDefault="00147FD7" w:rsidP="004C3071">
            <w:pPr>
              <w:spacing w:line="240" w:lineRule="auto"/>
              <w:jc w:val="center"/>
              <w:rPr>
                <w:rFonts w:eastAsia="Times New Roman"/>
                <w:b w:val="0"/>
              </w:rPr>
            </w:pPr>
            <w:r w:rsidRPr="00F06F25">
              <w:rPr>
                <w:rFonts w:eastAsia="Times New Roman"/>
                <w:b w:val="0"/>
              </w:rPr>
              <w:t>Information Resources</w:t>
            </w:r>
          </w:p>
        </w:tc>
        <w:tc>
          <w:tcPr>
            <w:tcW w:w="1530" w:type="dxa"/>
            <w:tcMar>
              <w:top w:w="120" w:type="dxa"/>
              <w:left w:w="120" w:type="dxa"/>
              <w:bottom w:w="120" w:type="dxa"/>
              <w:right w:w="120" w:type="dxa"/>
            </w:tcMar>
            <w:vAlign w:val="center"/>
          </w:tcPr>
          <w:p w14:paraId="7B22A1B9" w14:textId="76817559" w:rsidR="00147FD7" w:rsidRPr="00F06F25" w:rsidRDefault="002A172D" w:rsidP="004C3071">
            <w:pPr>
              <w:ind w:left="14"/>
              <w:jc w:val="center"/>
              <w:rPr>
                <w:b w:val="0"/>
              </w:rPr>
            </w:pPr>
            <w:r>
              <w:rPr>
                <w:b w:val="0"/>
              </w:rPr>
              <w:t>$10</w:t>
            </w:r>
            <w:r w:rsidR="00E27943">
              <w:rPr>
                <w:b w:val="0"/>
              </w:rPr>
              <w:t xml:space="preserve">5,000 </w:t>
            </w:r>
            <w:r>
              <w:rPr>
                <w:b w:val="0"/>
              </w:rPr>
              <w:t xml:space="preserve">for small team of specialists </w:t>
            </w:r>
          </w:p>
        </w:tc>
        <w:tc>
          <w:tcPr>
            <w:tcW w:w="1735" w:type="dxa"/>
            <w:tcMar>
              <w:top w:w="120" w:type="dxa"/>
              <w:left w:w="120" w:type="dxa"/>
              <w:bottom w:w="120" w:type="dxa"/>
              <w:right w:w="120" w:type="dxa"/>
            </w:tcMar>
            <w:vAlign w:val="center"/>
          </w:tcPr>
          <w:p w14:paraId="7AA333C9" w14:textId="14C3275F" w:rsidR="00147FD7" w:rsidRPr="00F06F25" w:rsidRDefault="00147FD7" w:rsidP="004C3071">
            <w:pPr>
              <w:ind w:left="14"/>
              <w:jc w:val="center"/>
              <w:rPr>
                <w:b w:val="0"/>
              </w:rPr>
            </w:pPr>
            <w:r w:rsidRPr="00F06F25">
              <w:rPr>
                <w:b w:val="0"/>
              </w:rPr>
              <w:t>Research Awards Management System Improvements</w:t>
            </w:r>
          </w:p>
        </w:tc>
        <w:tc>
          <w:tcPr>
            <w:tcW w:w="6663" w:type="dxa"/>
            <w:tcMar>
              <w:top w:w="120" w:type="dxa"/>
              <w:left w:w="120" w:type="dxa"/>
              <w:bottom w:w="120" w:type="dxa"/>
              <w:right w:w="120" w:type="dxa"/>
            </w:tcMar>
            <w:vAlign w:val="center"/>
          </w:tcPr>
          <w:p w14:paraId="14FD91C6"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Grant-funded employee team retention; replacing project manager and hiring a senior developer.</w:t>
            </w:r>
          </w:p>
          <w:p w14:paraId="5ECE1E29"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Re-alignment of data categorization with COFO and Carleton Chart of Accounts and other standard university nomenclature</w:t>
            </w:r>
          </w:p>
          <w:p w14:paraId="246804CE"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Implementation of modification of fields in accordance with user needs</w:t>
            </w:r>
          </w:p>
          <w:p w14:paraId="458D1A9E"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Standardization and limitation of responses in categories to reflect shared understanding of terminology</w:t>
            </w:r>
          </w:p>
          <w:p w14:paraId="5142F9B0"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Development of APIs to enable alignment</w:t>
            </w:r>
          </w:p>
          <w:p w14:paraId="62069057" w14:textId="3A568F1D" w:rsidR="00147FD7" w:rsidRPr="00F06F25" w:rsidRDefault="00147FD7" w:rsidP="002E543D">
            <w:pPr>
              <w:pStyle w:val="ListParagraph"/>
              <w:numPr>
                <w:ilvl w:val="0"/>
                <w:numId w:val="13"/>
              </w:numPr>
              <w:spacing w:line="240" w:lineRule="auto"/>
              <w:ind w:left="397" w:hanging="284"/>
              <w:rPr>
                <w:rFonts w:eastAsia="Times New Roman"/>
                <w:b w:val="0"/>
                <w:color w:val="auto"/>
                <w:lang w:eastAsia="en-US"/>
              </w:rPr>
            </w:pPr>
            <w:r w:rsidRPr="002E543D">
              <w:rPr>
                <w:b w:val="0"/>
                <w:bCs/>
              </w:rPr>
              <w:t>Development of automated customized reports for researchers</w:t>
            </w:r>
          </w:p>
        </w:tc>
        <w:tc>
          <w:tcPr>
            <w:tcW w:w="5736" w:type="dxa"/>
            <w:tcMar>
              <w:top w:w="120" w:type="dxa"/>
              <w:left w:w="120" w:type="dxa"/>
              <w:bottom w:w="120" w:type="dxa"/>
              <w:right w:w="120" w:type="dxa"/>
            </w:tcMar>
            <w:vAlign w:val="center"/>
          </w:tcPr>
          <w:p w14:paraId="23CA6644"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Improved reliability and capacity for storing, compiling, and analyzing institutional data by embracing technological advances, resulting in functions with greater consistency, transparency, and integrity in research data management and reporting.</w:t>
            </w:r>
          </w:p>
          <w:p w14:paraId="26C1F361"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t>Integration of award management system with other key University systems, leading to more efficient and comprehensive institutional reporting within and outside the University, thereby eliminating time consuming data entry duplication and manual workflow management.</w:t>
            </w:r>
          </w:p>
          <w:p w14:paraId="79A29E4F" w14:textId="77777777" w:rsidR="00147FD7" w:rsidRPr="002E543D" w:rsidRDefault="00147FD7" w:rsidP="002E543D">
            <w:pPr>
              <w:pStyle w:val="ListParagraph"/>
              <w:numPr>
                <w:ilvl w:val="0"/>
                <w:numId w:val="13"/>
              </w:numPr>
              <w:spacing w:line="240" w:lineRule="auto"/>
              <w:ind w:left="397" w:hanging="284"/>
              <w:rPr>
                <w:b w:val="0"/>
                <w:bCs/>
              </w:rPr>
            </w:pPr>
            <w:r w:rsidRPr="002E543D">
              <w:rPr>
                <w:b w:val="0"/>
                <w:bCs/>
              </w:rPr>
              <w:lastRenderedPageBreak/>
              <w:t xml:space="preserve">Improved user-friendliness of the system </w:t>
            </w:r>
            <w:proofErr w:type="gramStart"/>
            <w:r w:rsidRPr="002E543D">
              <w:rPr>
                <w:b w:val="0"/>
                <w:bCs/>
              </w:rPr>
              <w:t>in order to</w:t>
            </w:r>
            <w:proofErr w:type="gramEnd"/>
            <w:r w:rsidRPr="002E543D">
              <w:rPr>
                <w:b w:val="0"/>
                <w:bCs/>
              </w:rPr>
              <w:t xml:space="preserve"> serve the interests of the entire Carleton user community enabling each group greater ease and more self-sufficiency in accessing application history and award data, including funding amounts and balances, in fully automated reports.</w:t>
            </w:r>
          </w:p>
          <w:p w14:paraId="30DC5038" w14:textId="29F896D0" w:rsidR="00147FD7" w:rsidRPr="00F06F25" w:rsidRDefault="00147FD7" w:rsidP="002E543D">
            <w:pPr>
              <w:pStyle w:val="ListParagraph"/>
              <w:numPr>
                <w:ilvl w:val="0"/>
                <w:numId w:val="13"/>
              </w:numPr>
              <w:spacing w:line="240" w:lineRule="auto"/>
              <w:ind w:left="397" w:hanging="284"/>
              <w:rPr>
                <w:rFonts w:eastAsia="Times New Roman"/>
                <w:b w:val="0"/>
                <w:color w:val="auto"/>
                <w:lang w:eastAsia="en-US"/>
              </w:rPr>
            </w:pPr>
            <w:r w:rsidRPr="002E543D">
              <w:rPr>
                <w:b w:val="0"/>
                <w:bCs/>
              </w:rPr>
              <w:t>Efficiency gains in business processes leading to faster processing and stronger institutional and individual decision making.</w:t>
            </w:r>
          </w:p>
        </w:tc>
      </w:tr>
      <w:tr w:rsidR="0066469D" w:rsidRPr="00F06F25" w14:paraId="5E3355A9" w14:textId="77777777" w:rsidTr="00E14B56">
        <w:tblPrEx>
          <w:shd w:val="clear" w:color="auto" w:fill="FFFFFF"/>
        </w:tblPrEx>
        <w:trPr>
          <w:trHeight w:val="500"/>
          <w:jc w:val="center"/>
        </w:trPr>
        <w:tc>
          <w:tcPr>
            <w:tcW w:w="1611" w:type="dxa"/>
            <w:vAlign w:val="center"/>
          </w:tcPr>
          <w:p w14:paraId="721E3CB8" w14:textId="74A1D8A0" w:rsidR="0066469D" w:rsidRPr="00C541E8" w:rsidRDefault="00C07D98" w:rsidP="005648A6">
            <w:pPr>
              <w:spacing w:line="240" w:lineRule="auto"/>
              <w:rPr>
                <w:b w:val="0"/>
                <w:bCs/>
              </w:rPr>
            </w:pPr>
            <w:r w:rsidRPr="00C541E8">
              <w:lastRenderedPageBreak/>
              <w:br w:type="page"/>
            </w:r>
            <w:r w:rsidR="002A172D" w:rsidRPr="00C541E8">
              <w:rPr>
                <w:b w:val="0"/>
                <w:bCs/>
                <w:lang w:val="en-US"/>
              </w:rPr>
              <w:t>Enhancing Support for International Research Partnerships</w:t>
            </w:r>
          </w:p>
        </w:tc>
        <w:tc>
          <w:tcPr>
            <w:tcW w:w="1353" w:type="dxa"/>
            <w:tcMar>
              <w:top w:w="120" w:type="dxa"/>
              <w:left w:w="120" w:type="dxa"/>
              <w:bottom w:w="120" w:type="dxa"/>
              <w:right w:w="120" w:type="dxa"/>
            </w:tcMar>
            <w:vAlign w:val="center"/>
          </w:tcPr>
          <w:p w14:paraId="46EB1B34" w14:textId="77777777" w:rsidR="007D16E8" w:rsidRPr="00C541E8" w:rsidRDefault="007D16E8" w:rsidP="007D16E8">
            <w:pPr>
              <w:spacing w:line="240" w:lineRule="auto"/>
              <w:jc w:val="center"/>
              <w:rPr>
                <w:rFonts w:eastAsia="Times New Roman"/>
                <w:b w:val="0"/>
              </w:rPr>
            </w:pPr>
            <w:r w:rsidRPr="00C541E8">
              <w:rPr>
                <w:rFonts w:eastAsia="Times New Roman"/>
                <w:b w:val="0"/>
              </w:rPr>
              <w:t>Innovation and Commercialization activities</w:t>
            </w:r>
          </w:p>
          <w:p w14:paraId="447F7CDF" w14:textId="77777777" w:rsidR="007D16E8" w:rsidRPr="00C541E8" w:rsidRDefault="007D16E8" w:rsidP="007D16E8">
            <w:pPr>
              <w:spacing w:line="240" w:lineRule="auto"/>
              <w:jc w:val="center"/>
              <w:rPr>
                <w:rFonts w:eastAsia="Times New Roman"/>
                <w:b w:val="0"/>
                <w:i/>
                <w:iCs/>
              </w:rPr>
            </w:pPr>
            <w:r w:rsidRPr="00C541E8">
              <w:rPr>
                <w:rFonts w:eastAsia="Times New Roman"/>
                <w:b w:val="0"/>
                <w:i/>
                <w:iCs/>
              </w:rPr>
              <w:t>and</w:t>
            </w:r>
          </w:p>
          <w:p w14:paraId="0D0C42E0" w14:textId="69E64ED3" w:rsidR="0066469D" w:rsidRPr="00C541E8" w:rsidRDefault="007D16E8" w:rsidP="007D16E8">
            <w:pPr>
              <w:spacing w:line="240" w:lineRule="auto"/>
              <w:jc w:val="center"/>
              <w:rPr>
                <w:rFonts w:eastAsia="Times New Roman"/>
                <w:b w:val="0"/>
              </w:rPr>
            </w:pPr>
            <w:r w:rsidRPr="00C541E8">
              <w:rPr>
                <w:rFonts w:eastAsia="Times New Roman"/>
                <w:b w:val="0"/>
              </w:rPr>
              <w:t>Information Resources</w:t>
            </w:r>
          </w:p>
        </w:tc>
        <w:tc>
          <w:tcPr>
            <w:tcW w:w="1530" w:type="dxa"/>
            <w:tcMar>
              <w:top w:w="120" w:type="dxa"/>
              <w:left w:w="120" w:type="dxa"/>
              <w:bottom w:w="120" w:type="dxa"/>
              <w:right w:w="120" w:type="dxa"/>
            </w:tcMar>
            <w:vAlign w:val="center"/>
          </w:tcPr>
          <w:p w14:paraId="2A6E51BC" w14:textId="4D191CEA" w:rsidR="0066469D" w:rsidRPr="00C541E8" w:rsidRDefault="002A172D" w:rsidP="004C3071">
            <w:pPr>
              <w:ind w:left="14"/>
              <w:jc w:val="center"/>
              <w:rPr>
                <w:b w:val="0"/>
              </w:rPr>
            </w:pPr>
            <w:r w:rsidRPr="00C541E8">
              <w:rPr>
                <w:b w:val="0"/>
              </w:rPr>
              <w:t>$120,000 for contracts and agreements specialist</w:t>
            </w:r>
          </w:p>
        </w:tc>
        <w:tc>
          <w:tcPr>
            <w:tcW w:w="1735" w:type="dxa"/>
            <w:tcMar>
              <w:top w:w="120" w:type="dxa"/>
              <w:left w:w="120" w:type="dxa"/>
              <w:bottom w:w="120" w:type="dxa"/>
              <w:right w:w="120" w:type="dxa"/>
            </w:tcMar>
            <w:vAlign w:val="center"/>
          </w:tcPr>
          <w:p w14:paraId="65426246" w14:textId="1A164AFF" w:rsidR="0066469D" w:rsidRPr="00C541E8" w:rsidRDefault="005D29E5" w:rsidP="00C07D98">
            <w:pPr>
              <w:jc w:val="center"/>
              <w:rPr>
                <w:b w:val="0"/>
              </w:rPr>
            </w:pPr>
            <w:r w:rsidRPr="00C541E8">
              <w:rPr>
                <w:b w:val="0"/>
              </w:rPr>
              <w:t xml:space="preserve">Strengthening of compliant legal and financial Contracts and Agreements </w:t>
            </w:r>
          </w:p>
        </w:tc>
        <w:tc>
          <w:tcPr>
            <w:tcW w:w="6663" w:type="dxa"/>
            <w:tcMar>
              <w:top w:w="120" w:type="dxa"/>
              <w:left w:w="120" w:type="dxa"/>
              <w:bottom w:w="120" w:type="dxa"/>
              <w:right w:w="120" w:type="dxa"/>
            </w:tcMar>
            <w:vAlign w:val="center"/>
          </w:tcPr>
          <w:p w14:paraId="15969153" w14:textId="01E209BE" w:rsidR="00C541E8" w:rsidRPr="002E543D" w:rsidRDefault="00C541E8" w:rsidP="002E543D">
            <w:pPr>
              <w:pStyle w:val="ListParagraph"/>
              <w:numPr>
                <w:ilvl w:val="0"/>
                <w:numId w:val="13"/>
              </w:numPr>
              <w:spacing w:line="240" w:lineRule="auto"/>
              <w:ind w:left="397" w:hanging="284"/>
              <w:rPr>
                <w:b w:val="0"/>
                <w:bCs/>
              </w:rPr>
            </w:pPr>
            <w:r w:rsidRPr="002E543D">
              <w:rPr>
                <w:b w:val="0"/>
                <w:bCs/>
              </w:rPr>
              <w:t xml:space="preserve">Establish framework(s) for monitoring, evaluating and learning from different partnerships and how they contribute to the University’s </w:t>
            </w:r>
            <w:proofErr w:type="spellStart"/>
            <w:proofErr w:type="gramStart"/>
            <w:r w:rsidRPr="002E543D">
              <w:rPr>
                <w:b w:val="0"/>
                <w:bCs/>
              </w:rPr>
              <w:t>objectives.The</w:t>
            </w:r>
            <w:proofErr w:type="spellEnd"/>
            <w:proofErr w:type="gramEnd"/>
            <w:r w:rsidRPr="002E543D">
              <w:rPr>
                <w:b w:val="0"/>
                <w:bCs/>
              </w:rPr>
              <w:t xml:space="preserve"> framework(s) will be evaluated for their use in reporting and will be iterated upon throughout the three-year project.</w:t>
            </w:r>
          </w:p>
          <w:p w14:paraId="4C51EBD4" w14:textId="249ED100" w:rsidR="00C541E8" w:rsidRPr="002E543D" w:rsidRDefault="00C541E8" w:rsidP="002E543D">
            <w:pPr>
              <w:pStyle w:val="ListParagraph"/>
              <w:numPr>
                <w:ilvl w:val="0"/>
                <w:numId w:val="13"/>
              </w:numPr>
              <w:spacing w:line="240" w:lineRule="auto"/>
              <w:ind w:left="397" w:hanging="284"/>
              <w:rPr>
                <w:b w:val="0"/>
                <w:bCs/>
              </w:rPr>
            </w:pPr>
            <w:r w:rsidRPr="002E543D">
              <w:rPr>
                <w:b w:val="0"/>
                <w:bCs/>
              </w:rPr>
              <w:t>Create KPIs associated with national and international partnerships including for reporting to external stakeholders: Ontario (SMA4/CMF), Tri-agency and/or rankings input.</w:t>
            </w:r>
          </w:p>
          <w:p w14:paraId="7DD0F336" w14:textId="4347233B" w:rsidR="00C541E8" w:rsidRPr="002E543D" w:rsidRDefault="00C541E8" w:rsidP="002E543D">
            <w:pPr>
              <w:pStyle w:val="ListParagraph"/>
              <w:numPr>
                <w:ilvl w:val="0"/>
                <w:numId w:val="13"/>
              </w:numPr>
              <w:spacing w:line="240" w:lineRule="auto"/>
              <w:ind w:left="397" w:hanging="284"/>
              <w:rPr>
                <w:b w:val="0"/>
                <w:bCs/>
              </w:rPr>
            </w:pPr>
            <w:r w:rsidRPr="002E543D">
              <w:rPr>
                <w:b w:val="0"/>
                <w:bCs/>
              </w:rPr>
              <w:t>Develop resilience to respond to rapidly changing international context:</w:t>
            </w:r>
          </w:p>
          <w:p w14:paraId="540F5E98" w14:textId="74ACFA31" w:rsidR="00C541E8" w:rsidRPr="002E543D" w:rsidRDefault="00C541E8" w:rsidP="002E543D">
            <w:pPr>
              <w:pStyle w:val="ListParagraph"/>
              <w:numPr>
                <w:ilvl w:val="1"/>
                <w:numId w:val="13"/>
              </w:numPr>
              <w:spacing w:line="240" w:lineRule="auto"/>
              <w:ind w:left="759" w:hanging="284"/>
              <w:rPr>
                <w:b w:val="0"/>
                <w:bCs/>
              </w:rPr>
            </w:pPr>
            <w:r w:rsidRPr="002E543D">
              <w:rPr>
                <w:b w:val="0"/>
                <w:bCs/>
              </w:rPr>
              <w:t>Minimum: maintain levels after recent growth and increasingly complex environments</w:t>
            </w:r>
          </w:p>
          <w:p w14:paraId="3EC1147C" w14:textId="4C566086" w:rsidR="0066469D" w:rsidRPr="00C541E8" w:rsidRDefault="00C541E8" w:rsidP="002E543D">
            <w:pPr>
              <w:pStyle w:val="ListParagraph"/>
              <w:numPr>
                <w:ilvl w:val="1"/>
                <w:numId w:val="13"/>
              </w:numPr>
              <w:spacing w:line="240" w:lineRule="auto"/>
              <w:ind w:left="759" w:hanging="284"/>
              <w:rPr>
                <w:b w:val="0"/>
                <w:bCs/>
              </w:rPr>
            </w:pPr>
            <w:r w:rsidRPr="002E543D">
              <w:rPr>
                <w:b w:val="0"/>
                <w:bCs/>
              </w:rPr>
              <w:t>Target: continuation of growth at both national and international levels</w:t>
            </w:r>
          </w:p>
        </w:tc>
        <w:tc>
          <w:tcPr>
            <w:tcW w:w="5736" w:type="dxa"/>
            <w:tcMar>
              <w:top w:w="120" w:type="dxa"/>
              <w:left w:w="120" w:type="dxa"/>
              <w:bottom w:w="120" w:type="dxa"/>
              <w:right w:w="120" w:type="dxa"/>
            </w:tcMar>
          </w:tcPr>
          <w:p w14:paraId="28D67EEB" w14:textId="133FDCD6" w:rsidR="00C541E8" w:rsidRPr="002E543D" w:rsidRDefault="00C541E8" w:rsidP="002E543D">
            <w:pPr>
              <w:pStyle w:val="ListParagraph"/>
              <w:numPr>
                <w:ilvl w:val="0"/>
                <w:numId w:val="13"/>
              </w:numPr>
              <w:spacing w:line="240" w:lineRule="auto"/>
              <w:ind w:left="397" w:hanging="284"/>
              <w:rPr>
                <w:b w:val="0"/>
                <w:bCs/>
              </w:rPr>
            </w:pPr>
            <w:r w:rsidRPr="002E543D">
              <w:rPr>
                <w:b w:val="0"/>
                <w:bCs/>
              </w:rPr>
              <w:t xml:space="preserve">Maintain and expand support for partnered projects at both national and international levels despite increasing complexity and competitiveness in the space. </w:t>
            </w:r>
          </w:p>
          <w:p w14:paraId="103BB8F5" w14:textId="07AD716E" w:rsidR="0066469D" w:rsidRPr="00B16323" w:rsidRDefault="00C541E8" w:rsidP="002E543D">
            <w:pPr>
              <w:pStyle w:val="ListParagraph"/>
              <w:numPr>
                <w:ilvl w:val="0"/>
                <w:numId w:val="13"/>
              </w:numPr>
              <w:spacing w:line="240" w:lineRule="auto"/>
              <w:ind w:left="397" w:hanging="284"/>
              <w:rPr>
                <w:rFonts w:eastAsiaTheme="minorHAnsi"/>
                <w:color w:val="auto"/>
                <w:lang w:eastAsia="en-US"/>
              </w:rPr>
            </w:pPr>
            <w:r w:rsidRPr="002E543D">
              <w:rPr>
                <w:b w:val="0"/>
                <w:bCs/>
              </w:rPr>
              <w:t>Support the university’s accountability by increasing and leveraging the university’s research intensity, through partnerships, publications, industry funding and student training/mentoring for research and innovation.</w:t>
            </w:r>
          </w:p>
        </w:tc>
      </w:tr>
      <w:tr w:rsidR="00405D03" w:rsidRPr="00F06F25" w14:paraId="097454CA" w14:textId="77777777" w:rsidTr="00E14B56">
        <w:tblPrEx>
          <w:shd w:val="clear" w:color="auto" w:fill="FFFFFF"/>
        </w:tblPrEx>
        <w:trPr>
          <w:trHeight w:val="500"/>
          <w:jc w:val="center"/>
        </w:trPr>
        <w:tc>
          <w:tcPr>
            <w:tcW w:w="1611" w:type="dxa"/>
            <w:vAlign w:val="center"/>
          </w:tcPr>
          <w:p w14:paraId="508AD138" w14:textId="1E203770" w:rsidR="00405D03" w:rsidRPr="0047205A" w:rsidRDefault="00C541E8" w:rsidP="005648A6">
            <w:pPr>
              <w:spacing w:line="240" w:lineRule="auto"/>
              <w:rPr>
                <w:rFonts w:eastAsia="Times New Roman"/>
                <w:b w:val="0"/>
                <w:color w:val="auto"/>
              </w:rPr>
            </w:pPr>
            <w:r w:rsidRPr="0047205A">
              <w:rPr>
                <w:b w:val="0"/>
              </w:rPr>
              <w:t>Advancing Carleton’s Innovation Ecosystem</w:t>
            </w:r>
          </w:p>
        </w:tc>
        <w:tc>
          <w:tcPr>
            <w:tcW w:w="1353" w:type="dxa"/>
            <w:tcMar>
              <w:top w:w="120" w:type="dxa"/>
              <w:left w:w="120" w:type="dxa"/>
              <w:bottom w:w="120" w:type="dxa"/>
              <w:right w:w="120" w:type="dxa"/>
            </w:tcMar>
            <w:vAlign w:val="center"/>
          </w:tcPr>
          <w:p w14:paraId="60D94A11" w14:textId="77777777" w:rsidR="00405D03" w:rsidRPr="0047205A" w:rsidRDefault="00405D03" w:rsidP="004C3071">
            <w:pPr>
              <w:spacing w:line="240" w:lineRule="auto"/>
              <w:jc w:val="center"/>
              <w:rPr>
                <w:rFonts w:eastAsia="Times New Roman"/>
                <w:b w:val="0"/>
              </w:rPr>
            </w:pPr>
            <w:r w:rsidRPr="0047205A">
              <w:rPr>
                <w:rFonts w:eastAsia="Times New Roman"/>
                <w:b w:val="0"/>
              </w:rPr>
              <w:t>Innovation and Commercialization activities</w:t>
            </w:r>
          </w:p>
          <w:p w14:paraId="78893080" w14:textId="54FB870C" w:rsidR="007D16E8" w:rsidRPr="0047205A" w:rsidRDefault="007D16E8" w:rsidP="004C3071">
            <w:pPr>
              <w:spacing w:line="240" w:lineRule="auto"/>
              <w:jc w:val="center"/>
              <w:rPr>
                <w:rFonts w:eastAsia="Times New Roman"/>
                <w:b w:val="0"/>
              </w:rPr>
            </w:pPr>
          </w:p>
        </w:tc>
        <w:tc>
          <w:tcPr>
            <w:tcW w:w="1530" w:type="dxa"/>
            <w:tcMar>
              <w:top w:w="120" w:type="dxa"/>
              <w:left w:w="120" w:type="dxa"/>
              <w:bottom w:w="120" w:type="dxa"/>
              <w:right w:w="120" w:type="dxa"/>
            </w:tcMar>
            <w:vAlign w:val="center"/>
          </w:tcPr>
          <w:p w14:paraId="42169290" w14:textId="155DE7F8" w:rsidR="00405D03" w:rsidRPr="0047205A" w:rsidRDefault="00C541E8" w:rsidP="004C3071">
            <w:pPr>
              <w:ind w:left="14"/>
              <w:jc w:val="center"/>
              <w:rPr>
                <w:b w:val="0"/>
              </w:rPr>
            </w:pPr>
            <w:r w:rsidRPr="0047205A">
              <w:rPr>
                <w:b w:val="0"/>
              </w:rPr>
              <w:t>$120,000</w:t>
            </w:r>
            <w:r w:rsidR="0047205A" w:rsidRPr="0047205A">
              <w:rPr>
                <w:b w:val="0"/>
              </w:rPr>
              <w:t xml:space="preserve"> for investments in IP and </w:t>
            </w:r>
            <w:r w:rsidR="006A254E" w:rsidRPr="0047205A">
              <w:rPr>
                <w:b w:val="0"/>
              </w:rPr>
              <w:t>commercialization</w:t>
            </w:r>
            <w:r w:rsidR="0047205A" w:rsidRPr="0047205A">
              <w:rPr>
                <w:b w:val="0"/>
              </w:rPr>
              <w:t xml:space="preserve"> activities</w:t>
            </w:r>
          </w:p>
        </w:tc>
        <w:tc>
          <w:tcPr>
            <w:tcW w:w="1735" w:type="dxa"/>
            <w:tcMar>
              <w:top w:w="120" w:type="dxa"/>
              <w:left w:w="120" w:type="dxa"/>
              <w:bottom w:w="120" w:type="dxa"/>
              <w:right w:w="120" w:type="dxa"/>
            </w:tcMar>
            <w:vAlign w:val="center"/>
          </w:tcPr>
          <w:p w14:paraId="77018616" w14:textId="52BFCF2A" w:rsidR="00405D03" w:rsidRPr="0047205A" w:rsidRDefault="00E438A7" w:rsidP="00C07D98">
            <w:pPr>
              <w:jc w:val="center"/>
              <w:rPr>
                <w:b w:val="0"/>
                <w:bCs/>
              </w:rPr>
            </w:pPr>
            <w:r w:rsidRPr="0047205A">
              <w:rPr>
                <w:b w:val="0"/>
                <w:bCs/>
              </w:rPr>
              <w:t xml:space="preserve">Support coordinated university-wide </w:t>
            </w:r>
            <w:proofErr w:type="gramStart"/>
            <w:r w:rsidRPr="0047205A">
              <w:rPr>
                <w:b w:val="0"/>
                <w:bCs/>
              </w:rPr>
              <w:t>entrepreneur</w:t>
            </w:r>
            <w:r w:rsidR="006A254E">
              <w:rPr>
                <w:b w:val="0"/>
                <w:bCs/>
              </w:rPr>
              <w:t>-</w:t>
            </w:r>
            <w:r w:rsidRPr="0047205A">
              <w:rPr>
                <w:b w:val="0"/>
                <w:bCs/>
              </w:rPr>
              <w:t>ship</w:t>
            </w:r>
            <w:proofErr w:type="gramEnd"/>
            <w:r w:rsidRPr="0047205A">
              <w:rPr>
                <w:b w:val="0"/>
                <w:bCs/>
              </w:rPr>
              <w:t xml:space="preserve">, innovation </w:t>
            </w:r>
            <w:r w:rsidR="006A254E">
              <w:rPr>
                <w:b w:val="0"/>
                <w:bCs/>
              </w:rPr>
              <w:t>&amp;</w:t>
            </w:r>
            <w:r w:rsidRPr="0047205A">
              <w:rPr>
                <w:b w:val="0"/>
                <w:bCs/>
              </w:rPr>
              <w:t xml:space="preserve"> commercialization ecosystem</w:t>
            </w:r>
          </w:p>
        </w:tc>
        <w:tc>
          <w:tcPr>
            <w:tcW w:w="6663" w:type="dxa"/>
            <w:tcMar>
              <w:top w:w="120" w:type="dxa"/>
              <w:left w:w="120" w:type="dxa"/>
              <w:bottom w:w="120" w:type="dxa"/>
              <w:right w:w="120" w:type="dxa"/>
            </w:tcMar>
            <w:vAlign w:val="center"/>
          </w:tcPr>
          <w:p w14:paraId="763F01B6" w14:textId="4778AFF7" w:rsidR="0047205A" w:rsidRPr="0047205A" w:rsidRDefault="0047205A" w:rsidP="002E543D">
            <w:pPr>
              <w:pStyle w:val="ListParagraph"/>
              <w:numPr>
                <w:ilvl w:val="0"/>
                <w:numId w:val="13"/>
              </w:numPr>
              <w:spacing w:line="240" w:lineRule="auto"/>
              <w:ind w:left="397" w:hanging="284"/>
              <w:rPr>
                <w:b w:val="0"/>
                <w:bCs/>
              </w:rPr>
            </w:pPr>
            <w:r w:rsidRPr="0047205A">
              <w:rPr>
                <w:b w:val="0"/>
                <w:bCs/>
              </w:rPr>
              <w:t>Creation of Customer Relationship Management tool to increase efficiencies and effectiveness of research partnership development between OVPRII, Advancement and Faculty partnership/business development/research facilitators.</w:t>
            </w:r>
          </w:p>
          <w:p w14:paraId="6A319575" w14:textId="2BC2FA0C" w:rsidR="0047205A" w:rsidRPr="0047205A" w:rsidRDefault="0047205A" w:rsidP="002E543D">
            <w:pPr>
              <w:pStyle w:val="ListParagraph"/>
              <w:numPr>
                <w:ilvl w:val="0"/>
                <w:numId w:val="13"/>
              </w:numPr>
              <w:spacing w:line="240" w:lineRule="auto"/>
              <w:ind w:left="397" w:hanging="284"/>
              <w:rPr>
                <w:b w:val="0"/>
                <w:bCs/>
              </w:rPr>
            </w:pPr>
            <w:r w:rsidRPr="0047205A">
              <w:rPr>
                <w:b w:val="0"/>
                <w:bCs/>
              </w:rPr>
              <w:t>Increased engagement and coordination with industry partners</w:t>
            </w:r>
          </w:p>
          <w:p w14:paraId="0B3F8A8A" w14:textId="6F825BE8" w:rsidR="0047205A" w:rsidRPr="0047205A" w:rsidRDefault="0047205A" w:rsidP="002E543D">
            <w:pPr>
              <w:pStyle w:val="ListParagraph"/>
              <w:numPr>
                <w:ilvl w:val="0"/>
                <w:numId w:val="13"/>
              </w:numPr>
              <w:spacing w:line="240" w:lineRule="auto"/>
              <w:ind w:left="397" w:hanging="284"/>
              <w:rPr>
                <w:b w:val="0"/>
                <w:bCs/>
              </w:rPr>
            </w:pPr>
            <w:r w:rsidRPr="0047205A">
              <w:rPr>
                <w:b w:val="0"/>
                <w:bCs/>
              </w:rPr>
              <w:t>on-campus awareness/training events around IP and commercialization (5)</w:t>
            </w:r>
          </w:p>
          <w:p w14:paraId="1FB28C3A" w14:textId="3E82372E" w:rsidR="0047205A" w:rsidRPr="0047205A" w:rsidRDefault="0047205A" w:rsidP="002E543D">
            <w:pPr>
              <w:pStyle w:val="ListParagraph"/>
              <w:numPr>
                <w:ilvl w:val="0"/>
                <w:numId w:val="13"/>
              </w:numPr>
              <w:spacing w:line="240" w:lineRule="auto"/>
              <w:ind w:left="397" w:hanging="284"/>
              <w:rPr>
                <w:b w:val="0"/>
                <w:bCs/>
              </w:rPr>
            </w:pPr>
            <w:r w:rsidRPr="0047205A">
              <w:rPr>
                <w:b w:val="0"/>
                <w:bCs/>
              </w:rPr>
              <w:t>% increase in number of IP disclosures, particularly in strategic sectors (15%)</w:t>
            </w:r>
          </w:p>
          <w:p w14:paraId="1FBA5A79" w14:textId="1CBF45E7" w:rsidR="0047205A" w:rsidRPr="0047205A" w:rsidRDefault="0047205A" w:rsidP="002E543D">
            <w:pPr>
              <w:pStyle w:val="ListParagraph"/>
              <w:numPr>
                <w:ilvl w:val="0"/>
                <w:numId w:val="13"/>
              </w:numPr>
              <w:spacing w:line="240" w:lineRule="auto"/>
              <w:ind w:left="397" w:hanging="284"/>
              <w:rPr>
                <w:b w:val="0"/>
                <w:bCs/>
              </w:rPr>
            </w:pPr>
            <w:r w:rsidRPr="0047205A">
              <w:rPr>
                <w:b w:val="0"/>
                <w:bCs/>
              </w:rPr>
              <w:t>number of new supported disclosures (first patent filings + non patentable IP) (3)</w:t>
            </w:r>
          </w:p>
          <w:p w14:paraId="4B2D9FC9" w14:textId="43EC5450" w:rsidR="0047205A" w:rsidRPr="0047205A" w:rsidRDefault="0047205A" w:rsidP="002E543D">
            <w:pPr>
              <w:pStyle w:val="ListParagraph"/>
              <w:numPr>
                <w:ilvl w:val="0"/>
                <w:numId w:val="13"/>
              </w:numPr>
              <w:spacing w:line="240" w:lineRule="auto"/>
              <w:ind w:left="397" w:hanging="284"/>
              <w:rPr>
                <w:b w:val="0"/>
                <w:bCs/>
              </w:rPr>
            </w:pPr>
            <w:r w:rsidRPr="0047205A">
              <w:rPr>
                <w:b w:val="0"/>
                <w:bCs/>
              </w:rPr>
              <w:t>Maturity of existing technologies:</w:t>
            </w:r>
          </w:p>
          <w:p w14:paraId="3057B4F7" w14:textId="4FF6AB2F" w:rsidR="0047205A" w:rsidRPr="0047205A" w:rsidRDefault="0047205A" w:rsidP="002E543D">
            <w:pPr>
              <w:pStyle w:val="ListParagraph"/>
              <w:numPr>
                <w:ilvl w:val="1"/>
                <w:numId w:val="13"/>
              </w:numPr>
              <w:spacing w:line="240" w:lineRule="auto"/>
              <w:ind w:left="759" w:hanging="284"/>
              <w:rPr>
                <w:b w:val="0"/>
                <w:bCs/>
              </w:rPr>
            </w:pPr>
            <w:r w:rsidRPr="0047205A">
              <w:rPr>
                <w:b w:val="0"/>
                <w:bCs/>
              </w:rPr>
              <w:t>next phase filings such as PCT/national phase entries</w:t>
            </w:r>
          </w:p>
          <w:p w14:paraId="2FC6447E" w14:textId="5E020721" w:rsidR="0047205A" w:rsidRPr="0047205A" w:rsidRDefault="0047205A" w:rsidP="002E543D">
            <w:pPr>
              <w:pStyle w:val="ListParagraph"/>
              <w:numPr>
                <w:ilvl w:val="1"/>
                <w:numId w:val="13"/>
              </w:numPr>
              <w:spacing w:line="240" w:lineRule="auto"/>
              <w:ind w:left="759" w:hanging="284"/>
              <w:rPr>
                <w:b w:val="0"/>
                <w:bCs/>
              </w:rPr>
            </w:pPr>
            <w:r w:rsidRPr="0047205A">
              <w:rPr>
                <w:b w:val="0"/>
                <w:bCs/>
              </w:rPr>
              <w:lastRenderedPageBreak/>
              <w:t>number of allowed/issued patents</w:t>
            </w:r>
          </w:p>
          <w:p w14:paraId="643E6AAA" w14:textId="1D738A16" w:rsidR="0047205A" w:rsidRPr="0047205A" w:rsidRDefault="0047205A" w:rsidP="002E543D">
            <w:pPr>
              <w:pStyle w:val="ListParagraph"/>
              <w:numPr>
                <w:ilvl w:val="1"/>
                <w:numId w:val="13"/>
              </w:numPr>
              <w:spacing w:line="240" w:lineRule="auto"/>
              <w:ind w:left="759" w:hanging="284"/>
              <w:rPr>
                <w:b w:val="0"/>
                <w:bCs/>
              </w:rPr>
            </w:pPr>
            <w:r w:rsidRPr="0047205A">
              <w:rPr>
                <w:b w:val="0"/>
                <w:bCs/>
              </w:rPr>
              <w:t>support for higher TRL proposals (market assessments, development/validation)</w:t>
            </w:r>
          </w:p>
          <w:p w14:paraId="49C371B5" w14:textId="1D23A63F" w:rsidR="00405D03" w:rsidRPr="0047205A" w:rsidRDefault="0047205A" w:rsidP="002E543D">
            <w:pPr>
              <w:pStyle w:val="ListParagraph"/>
              <w:numPr>
                <w:ilvl w:val="0"/>
                <w:numId w:val="13"/>
              </w:numPr>
              <w:spacing w:line="240" w:lineRule="auto"/>
              <w:ind w:left="397" w:hanging="284"/>
            </w:pPr>
            <w:r w:rsidRPr="0047205A">
              <w:rPr>
                <w:b w:val="0"/>
                <w:bCs/>
              </w:rPr>
              <w:t>increase in CITO related agreements with partners (NDAs, collaboration, licensing or assignment agreements)</w:t>
            </w:r>
          </w:p>
        </w:tc>
        <w:tc>
          <w:tcPr>
            <w:tcW w:w="5736" w:type="dxa"/>
            <w:tcMar>
              <w:top w:w="120" w:type="dxa"/>
              <w:left w:w="120" w:type="dxa"/>
              <w:bottom w:w="120" w:type="dxa"/>
              <w:right w:w="120" w:type="dxa"/>
            </w:tcMar>
            <w:vAlign w:val="center"/>
          </w:tcPr>
          <w:p w14:paraId="1A62F2A3" w14:textId="74179A1F" w:rsidR="0047205A" w:rsidRPr="002E543D" w:rsidRDefault="0047205A" w:rsidP="002E543D">
            <w:pPr>
              <w:pStyle w:val="ListParagraph"/>
              <w:numPr>
                <w:ilvl w:val="0"/>
                <w:numId w:val="13"/>
              </w:numPr>
              <w:spacing w:line="240" w:lineRule="auto"/>
              <w:ind w:left="397" w:hanging="284"/>
              <w:rPr>
                <w:b w:val="0"/>
                <w:bCs/>
              </w:rPr>
            </w:pPr>
            <w:r w:rsidRPr="002E543D">
              <w:rPr>
                <w:b w:val="0"/>
                <w:bCs/>
              </w:rPr>
              <w:lastRenderedPageBreak/>
              <w:t>Support the local innovation ecosystem and initiatives such as ISED’s IP Strategy and Ontario’s Commercialization Mandate Policy Framework through enhanced technology transfer and commercialization in areas of local strength.</w:t>
            </w:r>
          </w:p>
          <w:p w14:paraId="61032A3C" w14:textId="0521583B" w:rsidR="0047205A" w:rsidRPr="002E543D" w:rsidRDefault="0047205A" w:rsidP="002E543D">
            <w:pPr>
              <w:pStyle w:val="ListParagraph"/>
              <w:numPr>
                <w:ilvl w:val="0"/>
                <w:numId w:val="13"/>
              </w:numPr>
              <w:spacing w:line="240" w:lineRule="auto"/>
              <w:ind w:left="397" w:hanging="284"/>
              <w:rPr>
                <w:b w:val="0"/>
                <w:bCs/>
              </w:rPr>
            </w:pPr>
            <w:r w:rsidRPr="002E543D">
              <w:rPr>
                <w:b w:val="0"/>
                <w:bCs/>
              </w:rPr>
              <w:t>Increase in Carleton’s industry collaborations — an objective that will allow the University to also meet several of goals and reporting requirements related to the Strategic Mandate Agreement with Ontario, namely increasing its partnerships, publications, research intensity, industry funding and student training/mentoring.</w:t>
            </w:r>
          </w:p>
          <w:p w14:paraId="5CB7924C" w14:textId="4CF432D0" w:rsidR="00405D03" w:rsidRPr="00B16323" w:rsidRDefault="0047205A" w:rsidP="002E543D">
            <w:pPr>
              <w:pStyle w:val="ListParagraph"/>
              <w:numPr>
                <w:ilvl w:val="0"/>
                <w:numId w:val="13"/>
              </w:numPr>
              <w:spacing w:line="240" w:lineRule="auto"/>
              <w:ind w:left="397" w:hanging="284"/>
            </w:pPr>
            <w:r w:rsidRPr="002E543D">
              <w:rPr>
                <w:b w:val="0"/>
                <w:bCs/>
              </w:rPr>
              <w:t xml:space="preserve">Address heightened demand for in-depth IP and commercial assessments; providing guidance needed to shepherd a greater volume of NSERC I2I </w:t>
            </w:r>
            <w:r w:rsidRPr="002E543D">
              <w:rPr>
                <w:b w:val="0"/>
                <w:bCs/>
              </w:rPr>
              <w:lastRenderedPageBreak/>
              <w:t>applications; marketing and developing licensing and commercialization partnerships or support other paths to market; and complying with all University and Canadian laws and policies including but not limited to the Sensitive Technology Research and Affiliations of Concern (STRAC).</w:t>
            </w:r>
          </w:p>
        </w:tc>
      </w:tr>
      <w:tr w:rsidR="00204EC2" w:rsidRPr="00F06F25" w14:paraId="2C129B85" w14:textId="77777777" w:rsidTr="00E14B56">
        <w:tblPrEx>
          <w:shd w:val="clear" w:color="auto" w:fill="FFFFFF"/>
        </w:tblPrEx>
        <w:trPr>
          <w:trHeight w:val="500"/>
          <w:jc w:val="center"/>
        </w:trPr>
        <w:tc>
          <w:tcPr>
            <w:tcW w:w="1611" w:type="dxa"/>
            <w:vAlign w:val="center"/>
          </w:tcPr>
          <w:p w14:paraId="0D12FBA6" w14:textId="39B5BE10" w:rsidR="00204EC2" w:rsidRPr="00204EC2" w:rsidRDefault="00204EC2" w:rsidP="005648A6">
            <w:pPr>
              <w:spacing w:line="240" w:lineRule="auto"/>
              <w:rPr>
                <w:rFonts w:eastAsia="Times New Roman"/>
                <w:b w:val="0"/>
                <w:bCs/>
                <w:color w:val="auto"/>
              </w:rPr>
            </w:pPr>
            <w:r w:rsidRPr="00204EC2">
              <w:rPr>
                <w:rFonts w:eastAsia="Times New Roman"/>
                <w:b w:val="0"/>
                <w:bCs/>
                <w:color w:val="auto"/>
              </w:rPr>
              <w:lastRenderedPageBreak/>
              <w:t>Increasing Institutional Capacity for Equity, Diversity and Inclusion (EDI) in Research</w:t>
            </w:r>
          </w:p>
        </w:tc>
        <w:tc>
          <w:tcPr>
            <w:tcW w:w="1353" w:type="dxa"/>
            <w:tcMar>
              <w:top w:w="120" w:type="dxa"/>
              <w:left w:w="120" w:type="dxa"/>
              <w:bottom w:w="120" w:type="dxa"/>
              <w:right w:w="120" w:type="dxa"/>
            </w:tcMar>
            <w:vAlign w:val="center"/>
          </w:tcPr>
          <w:p w14:paraId="2C4CD7E9" w14:textId="55B2BF9F" w:rsidR="00204EC2" w:rsidRPr="00B16323" w:rsidRDefault="00204EC2" w:rsidP="004C3071">
            <w:pPr>
              <w:spacing w:line="240" w:lineRule="auto"/>
              <w:jc w:val="center"/>
              <w:rPr>
                <w:rFonts w:eastAsia="Times New Roman"/>
                <w:b w:val="0"/>
              </w:rPr>
            </w:pPr>
            <w:r>
              <w:rPr>
                <w:rFonts w:eastAsia="Times New Roman"/>
                <w:b w:val="0"/>
              </w:rPr>
              <w:t>Equity, Diversity, and Faculty Renewal</w:t>
            </w:r>
          </w:p>
        </w:tc>
        <w:tc>
          <w:tcPr>
            <w:tcW w:w="1530" w:type="dxa"/>
            <w:tcMar>
              <w:top w:w="120" w:type="dxa"/>
              <w:left w:w="120" w:type="dxa"/>
              <w:bottom w:w="120" w:type="dxa"/>
              <w:right w:w="120" w:type="dxa"/>
            </w:tcMar>
            <w:vAlign w:val="center"/>
          </w:tcPr>
          <w:p w14:paraId="1B03DFDC" w14:textId="1239D15F" w:rsidR="00204EC2" w:rsidRPr="00B16323" w:rsidRDefault="00204EC2" w:rsidP="004C3071">
            <w:pPr>
              <w:ind w:left="14"/>
              <w:jc w:val="center"/>
              <w:rPr>
                <w:b w:val="0"/>
              </w:rPr>
            </w:pPr>
            <w:r>
              <w:rPr>
                <w:b w:val="0"/>
              </w:rPr>
              <w:t>$120,000 for an EDI-in-Research specialist</w:t>
            </w:r>
          </w:p>
        </w:tc>
        <w:tc>
          <w:tcPr>
            <w:tcW w:w="1735" w:type="dxa"/>
            <w:tcMar>
              <w:top w:w="120" w:type="dxa"/>
              <w:left w:w="120" w:type="dxa"/>
              <w:bottom w:w="120" w:type="dxa"/>
              <w:right w:w="120" w:type="dxa"/>
            </w:tcMar>
            <w:vAlign w:val="center"/>
          </w:tcPr>
          <w:p w14:paraId="7EAFC912" w14:textId="6E64EE4A" w:rsidR="00204EC2" w:rsidRPr="00B16323" w:rsidRDefault="00204EC2" w:rsidP="00C07D98">
            <w:pPr>
              <w:jc w:val="center"/>
              <w:rPr>
                <w:rFonts w:eastAsia="Times New Roman"/>
                <w:b w:val="0"/>
                <w:color w:val="auto"/>
              </w:rPr>
            </w:pPr>
            <w:r>
              <w:rPr>
                <w:rFonts w:eastAsia="Times New Roman"/>
                <w:b w:val="0"/>
                <w:color w:val="auto"/>
              </w:rPr>
              <w:t>Enhanced support for EDI in research</w:t>
            </w:r>
          </w:p>
        </w:tc>
        <w:tc>
          <w:tcPr>
            <w:tcW w:w="6663" w:type="dxa"/>
            <w:tcMar>
              <w:top w:w="120" w:type="dxa"/>
              <w:left w:w="120" w:type="dxa"/>
              <w:bottom w:w="120" w:type="dxa"/>
              <w:right w:w="120" w:type="dxa"/>
            </w:tcMar>
            <w:vAlign w:val="center"/>
          </w:tcPr>
          <w:p w14:paraId="5A0940FA" w14:textId="7DD459BE" w:rsidR="00204EC2" w:rsidRPr="002E543D" w:rsidRDefault="00204EC2" w:rsidP="002E543D">
            <w:pPr>
              <w:pStyle w:val="ListParagraph"/>
              <w:numPr>
                <w:ilvl w:val="0"/>
                <w:numId w:val="13"/>
              </w:numPr>
              <w:spacing w:line="240" w:lineRule="auto"/>
              <w:ind w:left="397" w:hanging="284"/>
              <w:rPr>
                <w:b w:val="0"/>
                <w:bCs/>
              </w:rPr>
            </w:pPr>
            <w:r w:rsidRPr="002E543D">
              <w:rPr>
                <w:b w:val="0"/>
                <w:bCs/>
              </w:rPr>
              <w:t>Recruitment and onboarding of a new dedicated EDI-in-research grant-funded employee, housed in the Department of Equity and Inclusive Communities but with a dotted line connection to and regular two-way communication with CORIS/OVPRII.</w:t>
            </w:r>
          </w:p>
          <w:p w14:paraId="300E97B4" w14:textId="18A842F6" w:rsidR="00204EC2" w:rsidRPr="002E543D" w:rsidRDefault="00204EC2" w:rsidP="002E543D">
            <w:pPr>
              <w:pStyle w:val="ListParagraph"/>
              <w:numPr>
                <w:ilvl w:val="0"/>
                <w:numId w:val="13"/>
              </w:numPr>
              <w:spacing w:line="240" w:lineRule="auto"/>
              <w:ind w:left="397" w:hanging="284"/>
              <w:rPr>
                <w:b w:val="0"/>
                <w:bCs/>
              </w:rPr>
            </w:pPr>
            <w:r w:rsidRPr="002E543D">
              <w:rPr>
                <w:b w:val="0"/>
                <w:bCs/>
              </w:rPr>
              <w:t>Recruitment and training for Self-Assessment Team (SAT), including (co-)Chairs</w:t>
            </w:r>
          </w:p>
          <w:p w14:paraId="3ADEA8E9" w14:textId="2D1ED2B7" w:rsidR="00204EC2" w:rsidRPr="002E543D" w:rsidRDefault="00204EC2" w:rsidP="002E543D">
            <w:pPr>
              <w:pStyle w:val="ListParagraph"/>
              <w:numPr>
                <w:ilvl w:val="0"/>
                <w:numId w:val="13"/>
              </w:numPr>
              <w:spacing w:line="240" w:lineRule="auto"/>
              <w:ind w:left="397" w:hanging="284"/>
              <w:rPr>
                <w:b w:val="0"/>
                <w:bCs/>
              </w:rPr>
            </w:pPr>
            <w:r w:rsidRPr="002E543D">
              <w:rPr>
                <w:b w:val="0"/>
                <w:bCs/>
              </w:rPr>
              <w:t>Development and implementation of communications/outreach plan for EDI-in-research, including Dimensions, to Carleton community</w:t>
            </w:r>
          </w:p>
          <w:p w14:paraId="38C1A2B0" w14:textId="4EB1D317" w:rsidR="00204EC2" w:rsidRPr="002E543D" w:rsidRDefault="00204EC2" w:rsidP="002E543D">
            <w:pPr>
              <w:pStyle w:val="ListParagraph"/>
              <w:numPr>
                <w:ilvl w:val="0"/>
                <w:numId w:val="13"/>
              </w:numPr>
              <w:spacing w:line="240" w:lineRule="auto"/>
              <w:ind w:left="397" w:hanging="284"/>
              <w:rPr>
                <w:b w:val="0"/>
                <w:bCs/>
              </w:rPr>
            </w:pPr>
            <w:r w:rsidRPr="002E543D">
              <w:rPr>
                <w:b w:val="0"/>
                <w:bCs/>
              </w:rPr>
              <w:t>Support to the SAT in developing the environmental scan, institutional benchmarking and consultation/engagement activities</w:t>
            </w:r>
          </w:p>
        </w:tc>
        <w:tc>
          <w:tcPr>
            <w:tcW w:w="5736" w:type="dxa"/>
            <w:tcMar>
              <w:top w:w="120" w:type="dxa"/>
              <w:left w:w="120" w:type="dxa"/>
              <w:bottom w:w="120" w:type="dxa"/>
              <w:right w:w="120" w:type="dxa"/>
            </w:tcMar>
            <w:vAlign w:val="center"/>
          </w:tcPr>
          <w:p w14:paraId="3F1BB193" w14:textId="4BAF8B0D" w:rsidR="00204EC2" w:rsidRPr="002E543D" w:rsidRDefault="00204EC2" w:rsidP="002E543D">
            <w:pPr>
              <w:pStyle w:val="ListParagraph"/>
              <w:numPr>
                <w:ilvl w:val="0"/>
                <w:numId w:val="13"/>
              </w:numPr>
              <w:spacing w:line="240" w:lineRule="auto"/>
              <w:ind w:left="397" w:hanging="284"/>
              <w:rPr>
                <w:b w:val="0"/>
                <w:bCs/>
              </w:rPr>
            </w:pPr>
            <w:r w:rsidRPr="002E543D">
              <w:rPr>
                <w:b w:val="0"/>
                <w:bCs/>
              </w:rPr>
              <w:t xml:space="preserve">More effective support for EDI in research through increased alignment between EDI Action Plans (e.g., institutional, Dimensions, CRC, Faculties) </w:t>
            </w:r>
          </w:p>
          <w:p w14:paraId="24781943" w14:textId="5D54A3F3" w:rsidR="00204EC2" w:rsidRPr="002E543D" w:rsidRDefault="00204EC2" w:rsidP="002E543D">
            <w:pPr>
              <w:pStyle w:val="ListParagraph"/>
              <w:numPr>
                <w:ilvl w:val="0"/>
                <w:numId w:val="13"/>
              </w:numPr>
              <w:spacing w:line="240" w:lineRule="auto"/>
              <w:ind w:left="397" w:hanging="284"/>
              <w:rPr>
                <w:b w:val="0"/>
                <w:bCs/>
              </w:rPr>
            </w:pPr>
            <w:r w:rsidRPr="002E543D">
              <w:rPr>
                <w:b w:val="0"/>
                <w:bCs/>
              </w:rPr>
              <w:t>Achievement of recognition as a national leader in EDI in research (e.g., Dimensions)</w:t>
            </w:r>
          </w:p>
          <w:p w14:paraId="2E6DF668" w14:textId="2D97B709" w:rsidR="00204EC2" w:rsidRPr="002E543D" w:rsidRDefault="00204EC2" w:rsidP="002E543D">
            <w:pPr>
              <w:pStyle w:val="ListParagraph"/>
              <w:numPr>
                <w:ilvl w:val="0"/>
                <w:numId w:val="13"/>
              </w:numPr>
              <w:spacing w:line="240" w:lineRule="auto"/>
              <w:ind w:left="397" w:hanging="284"/>
              <w:rPr>
                <w:b w:val="0"/>
                <w:bCs/>
              </w:rPr>
            </w:pPr>
            <w:r w:rsidRPr="002E543D">
              <w:rPr>
                <w:b w:val="0"/>
                <w:bCs/>
              </w:rPr>
              <w:t>Secure funder approval for all required EDI Action Plans in support of research proposals and projects.</w:t>
            </w:r>
          </w:p>
          <w:p w14:paraId="778B0A2F" w14:textId="616FC091" w:rsidR="00204EC2" w:rsidRPr="00B16323" w:rsidRDefault="00204EC2" w:rsidP="002E543D">
            <w:pPr>
              <w:pStyle w:val="ListParagraph"/>
              <w:numPr>
                <w:ilvl w:val="0"/>
                <w:numId w:val="13"/>
              </w:numPr>
              <w:spacing w:line="240" w:lineRule="auto"/>
              <w:ind w:left="397" w:hanging="284"/>
            </w:pPr>
            <w:r w:rsidRPr="002E543D">
              <w:rPr>
                <w:b w:val="0"/>
                <w:bCs/>
              </w:rPr>
              <w:t>Increased awareness amongst campus community of EDI considerations related to research</w:t>
            </w:r>
          </w:p>
        </w:tc>
      </w:tr>
      <w:tr w:rsidR="00C3272E" w:rsidRPr="00F06F25" w14:paraId="107049CF" w14:textId="77777777" w:rsidTr="00E14B56">
        <w:tblPrEx>
          <w:shd w:val="clear" w:color="auto" w:fill="FFFFFF"/>
        </w:tblPrEx>
        <w:trPr>
          <w:trHeight w:val="500"/>
          <w:jc w:val="center"/>
        </w:trPr>
        <w:tc>
          <w:tcPr>
            <w:tcW w:w="1611" w:type="dxa"/>
            <w:vAlign w:val="center"/>
          </w:tcPr>
          <w:p w14:paraId="6F1ED253" w14:textId="244F53C2" w:rsidR="00C3272E" w:rsidRPr="00B16323" w:rsidRDefault="00B16323" w:rsidP="005648A6">
            <w:pPr>
              <w:spacing w:line="240" w:lineRule="auto"/>
              <w:rPr>
                <w:rFonts w:eastAsia="Times New Roman"/>
                <w:b w:val="0"/>
                <w:color w:val="auto"/>
              </w:rPr>
            </w:pPr>
            <w:r w:rsidRPr="00B16323">
              <w:rPr>
                <w:rFonts w:eastAsia="Times New Roman"/>
                <w:b w:val="0"/>
                <w:color w:val="auto"/>
              </w:rPr>
              <w:t>Research Benchmarking</w:t>
            </w:r>
          </w:p>
        </w:tc>
        <w:tc>
          <w:tcPr>
            <w:tcW w:w="1353" w:type="dxa"/>
            <w:tcMar>
              <w:top w:w="120" w:type="dxa"/>
              <w:left w:w="120" w:type="dxa"/>
              <w:bottom w:w="120" w:type="dxa"/>
              <w:right w:w="120" w:type="dxa"/>
            </w:tcMar>
            <w:vAlign w:val="center"/>
          </w:tcPr>
          <w:p w14:paraId="0C77B197" w14:textId="68102B2A" w:rsidR="00C3272E" w:rsidRPr="00B16323" w:rsidRDefault="00654403" w:rsidP="004C3071">
            <w:pPr>
              <w:spacing w:line="240" w:lineRule="auto"/>
              <w:jc w:val="center"/>
              <w:rPr>
                <w:rFonts w:eastAsia="Times New Roman"/>
                <w:b w:val="0"/>
              </w:rPr>
            </w:pPr>
            <w:r w:rsidRPr="00B16323">
              <w:rPr>
                <w:rFonts w:eastAsia="Times New Roman"/>
                <w:b w:val="0"/>
              </w:rPr>
              <w:t>Information Resources</w:t>
            </w:r>
          </w:p>
        </w:tc>
        <w:tc>
          <w:tcPr>
            <w:tcW w:w="1530" w:type="dxa"/>
            <w:tcMar>
              <w:top w:w="120" w:type="dxa"/>
              <w:left w:w="120" w:type="dxa"/>
              <w:bottom w:w="120" w:type="dxa"/>
              <w:right w:w="120" w:type="dxa"/>
            </w:tcMar>
            <w:vAlign w:val="center"/>
          </w:tcPr>
          <w:p w14:paraId="66E4B602" w14:textId="41F677C0" w:rsidR="00C3272E" w:rsidRPr="00B16323" w:rsidRDefault="00B16323" w:rsidP="004C3071">
            <w:pPr>
              <w:ind w:left="14"/>
              <w:jc w:val="center"/>
              <w:rPr>
                <w:b w:val="0"/>
              </w:rPr>
            </w:pPr>
            <w:r w:rsidRPr="00B16323">
              <w:rPr>
                <w:b w:val="0"/>
              </w:rPr>
              <w:t>$2</w:t>
            </w:r>
            <w:r w:rsidR="00E27943">
              <w:rPr>
                <w:b w:val="0"/>
              </w:rPr>
              <w:t>40,159</w:t>
            </w:r>
            <w:r w:rsidRPr="00B16323">
              <w:rPr>
                <w:b w:val="0"/>
              </w:rPr>
              <w:t xml:space="preserve"> for software licences</w:t>
            </w:r>
          </w:p>
        </w:tc>
        <w:tc>
          <w:tcPr>
            <w:tcW w:w="1735" w:type="dxa"/>
            <w:tcMar>
              <w:top w:w="120" w:type="dxa"/>
              <w:left w:w="120" w:type="dxa"/>
              <w:bottom w:w="120" w:type="dxa"/>
              <w:right w:w="120" w:type="dxa"/>
            </w:tcMar>
            <w:vAlign w:val="center"/>
          </w:tcPr>
          <w:p w14:paraId="6F2767DB" w14:textId="21DBC12F" w:rsidR="00C3272E" w:rsidRPr="00B16323" w:rsidRDefault="00654403" w:rsidP="00C07D98">
            <w:pPr>
              <w:jc w:val="center"/>
              <w:rPr>
                <w:b w:val="0"/>
              </w:rPr>
            </w:pPr>
            <w:r w:rsidRPr="00B16323">
              <w:rPr>
                <w:rFonts w:eastAsia="Times New Roman"/>
                <w:b w:val="0"/>
                <w:color w:val="auto"/>
              </w:rPr>
              <w:t>Improve and manage research data metrics tools</w:t>
            </w:r>
          </w:p>
        </w:tc>
        <w:tc>
          <w:tcPr>
            <w:tcW w:w="6663" w:type="dxa"/>
            <w:tcMar>
              <w:top w:w="120" w:type="dxa"/>
              <w:left w:w="120" w:type="dxa"/>
              <w:bottom w:w="120" w:type="dxa"/>
              <w:right w:w="120" w:type="dxa"/>
            </w:tcMar>
            <w:vAlign w:val="center"/>
          </w:tcPr>
          <w:p w14:paraId="51399217" w14:textId="43C49B72" w:rsidR="00F06F25" w:rsidRPr="002E543D" w:rsidRDefault="00F06F25" w:rsidP="002E543D">
            <w:pPr>
              <w:pStyle w:val="ListParagraph"/>
              <w:numPr>
                <w:ilvl w:val="0"/>
                <w:numId w:val="13"/>
              </w:numPr>
              <w:spacing w:line="240" w:lineRule="auto"/>
              <w:ind w:left="397" w:hanging="284"/>
              <w:rPr>
                <w:b w:val="0"/>
                <w:bCs/>
              </w:rPr>
            </w:pPr>
            <w:r w:rsidRPr="002E543D">
              <w:rPr>
                <w:b w:val="0"/>
                <w:bCs/>
              </w:rPr>
              <w:t xml:space="preserve">Support for research data analytics is equal to or greater than </w:t>
            </w:r>
            <w:r w:rsidR="00A82C7E" w:rsidRPr="002E543D">
              <w:rPr>
                <w:b w:val="0"/>
                <w:bCs/>
              </w:rPr>
              <w:t>20</w:t>
            </w:r>
            <w:r w:rsidR="00C10860" w:rsidRPr="002E543D">
              <w:rPr>
                <w:b w:val="0"/>
                <w:bCs/>
              </w:rPr>
              <w:t>18-</w:t>
            </w:r>
            <w:r w:rsidR="008E431C" w:rsidRPr="002E543D">
              <w:rPr>
                <w:b w:val="0"/>
                <w:bCs/>
              </w:rPr>
              <w:t>1</w:t>
            </w:r>
            <w:r w:rsidR="00C10860" w:rsidRPr="002E543D">
              <w:rPr>
                <w:b w:val="0"/>
                <w:bCs/>
              </w:rPr>
              <w:t>9</w:t>
            </w:r>
          </w:p>
          <w:p w14:paraId="55C8236F" w14:textId="68FAABA6" w:rsidR="00891985" w:rsidRPr="00B16323" w:rsidRDefault="00F06F25" w:rsidP="002E543D">
            <w:pPr>
              <w:pStyle w:val="ListParagraph"/>
              <w:numPr>
                <w:ilvl w:val="0"/>
                <w:numId w:val="13"/>
              </w:numPr>
              <w:spacing w:line="240" w:lineRule="auto"/>
              <w:ind w:left="397" w:hanging="284"/>
            </w:pPr>
            <w:r w:rsidRPr="002E543D">
              <w:rPr>
                <w:b w:val="0"/>
                <w:bCs/>
              </w:rPr>
              <w:t>Data analytics support is equal to or greater than in 20</w:t>
            </w:r>
            <w:r w:rsidR="00C10860" w:rsidRPr="002E543D">
              <w:rPr>
                <w:b w:val="0"/>
                <w:bCs/>
              </w:rPr>
              <w:t>1</w:t>
            </w:r>
            <w:r w:rsidR="008E431C" w:rsidRPr="002E543D">
              <w:rPr>
                <w:b w:val="0"/>
                <w:bCs/>
              </w:rPr>
              <w:t>8-2019</w:t>
            </w:r>
          </w:p>
        </w:tc>
        <w:tc>
          <w:tcPr>
            <w:tcW w:w="5736" w:type="dxa"/>
            <w:tcMar>
              <w:top w:w="120" w:type="dxa"/>
              <w:left w:w="120" w:type="dxa"/>
              <w:bottom w:w="120" w:type="dxa"/>
              <w:right w:w="120" w:type="dxa"/>
            </w:tcMar>
            <w:vAlign w:val="center"/>
          </w:tcPr>
          <w:p w14:paraId="5EFE11CF" w14:textId="01EFD519" w:rsidR="00F06F25" w:rsidRPr="002E543D" w:rsidRDefault="00F06F25" w:rsidP="002E543D">
            <w:pPr>
              <w:pStyle w:val="ListParagraph"/>
              <w:numPr>
                <w:ilvl w:val="0"/>
                <w:numId w:val="13"/>
              </w:numPr>
              <w:spacing w:line="240" w:lineRule="auto"/>
              <w:ind w:left="397" w:hanging="284"/>
              <w:rPr>
                <w:b w:val="0"/>
                <w:bCs/>
              </w:rPr>
            </w:pPr>
            <w:r w:rsidRPr="002E543D">
              <w:rPr>
                <w:b w:val="0"/>
                <w:bCs/>
              </w:rPr>
              <w:t>Enhanced researcher ease of identifying collaborators globally within and across disciplines, thereby enabling innovative and multidisciplinary research</w:t>
            </w:r>
            <w:r w:rsidR="0056685D" w:rsidRPr="002E543D">
              <w:rPr>
                <w:b w:val="0"/>
                <w:bCs/>
              </w:rPr>
              <w:t>.</w:t>
            </w:r>
          </w:p>
          <w:p w14:paraId="53FE2E5B" w14:textId="77777777" w:rsidR="00F06F25" w:rsidRPr="002E543D" w:rsidRDefault="00F06F25" w:rsidP="002E543D">
            <w:pPr>
              <w:pStyle w:val="ListParagraph"/>
              <w:numPr>
                <w:ilvl w:val="0"/>
                <w:numId w:val="13"/>
              </w:numPr>
              <w:spacing w:line="240" w:lineRule="auto"/>
              <w:ind w:left="397" w:hanging="284"/>
              <w:rPr>
                <w:b w:val="0"/>
                <w:bCs/>
              </w:rPr>
            </w:pPr>
            <w:r w:rsidRPr="002E543D">
              <w:rPr>
                <w:b w:val="0"/>
                <w:bCs/>
              </w:rPr>
              <w:t>Facilitating Carleton’s visualization of our research excellence and enabling the identification of global partners to further innovative solutions to complex problems.</w:t>
            </w:r>
          </w:p>
          <w:p w14:paraId="59453212" w14:textId="43827ED1" w:rsidR="00F06F25" w:rsidRPr="002E543D" w:rsidRDefault="00F06F25" w:rsidP="002E543D">
            <w:pPr>
              <w:pStyle w:val="ListParagraph"/>
              <w:numPr>
                <w:ilvl w:val="0"/>
                <w:numId w:val="13"/>
              </w:numPr>
              <w:spacing w:line="240" w:lineRule="auto"/>
              <w:ind w:left="397" w:hanging="284"/>
              <w:rPr>
                <w:b w:val="0"/>
                <w:bCs/>
              </w:rPr>
            </w:pPr>
            <w:r w:rsidRPr="002E543D">
              <w:rPr>
                <w:b w:val="0"/>
                <w:bCs/>
              </w:rPr>
              <w:t xml:space="preserve">Strengthened ability to assess individual and institutional research impact within our </w:t>
            </w:r>
            <w:r w:rsidR="00671E3A" w:rsidRPr="002E543D">
              <w:rPr>
                <w:b w:val="0"/>
                <w:bCs/>
              </w:rPr>
              <w:t>global</w:t>
            </w:r>
            <w:r w:rsidRPr="002E543D">
              <w:rPr>
                <w:b w:val="0"/>
                <w:bCs/>
              </w:rPr>
              <w:t xml:space="preserve"> and interconnected world.</w:t>
            </w:r>
          </w:p>
          <w:p w14:paraId="7A04424C" w14:textId="1E4221E1" w:rsidR="00891985" w:rsidRPr="00B16323" w:rsidRDefault="00F06F25" w:rsidP="003B2913">
            <w:pPr>
              <w:pStyle w:val="ListParagraph"/>
              <w:numPr>
                <w:ilvl w:val="0"/>
                <w:numId w:val="13"/>
              </w:numPr>
              <w:spacing w:line="240" w:lineRule="auto"/>
              <w:ind w:left="397" w:hanging="284"/>
              <w:rPr>
                <w:b w:val="0"/>
                <w:bCs/>
              </w:rPr>
            </w:pPr>
            <w:r w:rsidRPr="002E543D">
              <w:rPr>
                <w:b w:val="0"/>
                <w:bCs/>
              </w:rPr>
              <w:t xml:space="preserve">Streamlined efficiencies and cost savings in research support for technological transfer activities to the research community. </w:t>
            </w:r>
          </w:p>
        </w:tc>
      </w:tr>
      <w:tr w:rsidR="00B16323" w:rsidRPr="00F06F25" w14:paraId="662ABCF8" w14:textId="77777777" w:rsidTr="00E14B56">
        <w:tblPrEx>
          <w:shd w:val="clear" w:color="auto" w:fill="FFFFFF"/>
        </w:tblPrEx>
        <w:trPr>
          <w:trHeight w:val="500"/>
          <w:jc w:val="center"/>
        </w:trPr>
        <w:tc>
          <w:tcPr>
            <w:tcW w:w="1611" w:type="dxa"/>
            <w:vAlign w:val="center"/>
          </w:tcPr>
          <w:p w14:paraId="4E8E306E" w14:textId="2AD135DB" w:rsidR="00B16323" w:rsidRPr="002E543D" w:rsidRDefault="002E543D" w:rsidP="005648A6">
            <w:pPr>
              <w:spacing w:line="240" w:lineRule="auto"/>
              <w:rPr>
                <w:rFonts w:eastAsia="Times New Roman"/>
                <w:b w:val="0"/>
                <w:bCs/>
                <w:color w:val="auto"/>
              </w:rPr>
            </w:pPr>
            <w:r w:rsidRPr="002E543D">
              <w:rPr>
                <w:rFonts w:eastAsia="Times New Roman"/>
                <w:b w:val="0"/>
                <w:bCs/>
                <w:color w:val="auto"/>
              </w:rPr>
              <w:t>Enhancing Research Compliance Management</w:t>
            </w:r>
          </w:p>
        </w:tc>
        <w:tc>
          <w:tcPr>
            <w:tcW w:w="1353" w:type="dxa"/>
            <w:tcMar>
              <w:top w:w="120" w:type="dxa"/>
              <w:left w:w="120" w:type="dxa"/>
              <w:bottom w:w="120" w:type="dxa"/>
              <w:right w:w="120" w:type="dxa"/>
            </w:tcMar>
            <w:vAlign w:val="center"/>
          </w:tcPr>
          <w:p w14:paraId="3EDD31D1" w14:textId="77777777" w:rsidR="002E543D" w:rsidRDefault="00AC6DAF" w:rsidP="004C3071">
            <w:pPr>
              <w:spacing w:line="240" w:lineRule="auto"/>
              <w:jc w:val="center"/>
              <w:rPr>
                <w:rFonts w:eastAsia="Times New Roman"/>
                <w:b w:val="0"/>
              </w:rPr>
            </w:pPr>
            <w:r>
              <w:rPr>
                <w:rFonts w:eastAsia="Times New Roman"/>
                <w:b w:val="0"/>
              </w:rPr>
              <w:t>Information Resources</w:t>
            </w:r>
          </w:p>
          <w:p w14:paraId="3E510151" w14:textId="77777777" w:rsidR="00AC6DAF" w:rsidRDefault="00AC6DAF" w:rsidP="004C3071">
            <w:pPr>
              <w:spacing w:line="240" w:lineRule="auto"/>
              <w:jc w:val="center"/>
              <w:rPr>
                <w:rFonts w:eastAsia="Times New Roman"/>
                <w:b w:val="0"/>
              </w:rPr>
            </w:pPr>
          </w:p>
          <w:p w14:paraId="24BC011B" w14:textId="77777777" w:rsidR="00AC6DAF" w:rsidRDefault="00AC6DAF" w:rsidP="004C3071">
            <w:pPr>
              <w:spacing w:line="240" w:lineRule="auto"/>
              <w:jc w:val="center"/>
              <w:rPr>
                <w:rFonts w:eastAsia="Times New Roman"/>
                <w:b w:val="0"/>
              </w:rPr>
            </w:pPr>
          </w:p>
          <w:p w14:paraId="3FE4C341" w14:textId="4FC8E515" w:rsidR="00AC6DAF" w:rsidRPr="00B16323" w:rsidRDefault="00AC6DAF" w:rsidP="004C3071">
            <w:pPr>
              <w:spacing w:line="240" w:lineRule="auto"/>
              <w:jc w:val="center"/>
              <w:rPr>
                <w:rFonts w:eastAsia="Times New Roman"/>
                <w:b w:val="0"/>
              </w:rPr>
            </w:pPr>
            <w:r>
              <w:rPr>
                <w:rFonts w:eastAsia="Times New Roman"/>
                <w:b w:val="0"/>
              </w:rPr>
              <w:lastRenderedPageBreak/>
              <w:t>Facilities Renewal</w:t>
            </w:r>
          </w:p>
        </w:tc>
        <w:tc>
          <w:tcPr>
            <w:tcW w:w="1530" w:type="dxa"/>
            <w:tcMar>
              <w:top w:w="120" w:type="dxa"/>
              <w:left w:w="120" w:type="dxa"/>
              <w:bottom w:w="120" w:type="dxa"/>
              <w:right w:w="120" w:type="dxa"/>
            </w:tcMar>
            <w:vAlign w:val="center"/>
          </w:tcPr>
          <w:p w14:paraId="189F827B" w14:textId="09674810" w:rsidR="00AC6DAF" w:rsidRDefault="00AC6DAF" w:rsidP="00AC6DAF">
            <w:pPr>
              <w:spacing w:line="240" w:lineRule="auto"/>
              <w:jc w:val="center"/>
              <w:rPr>
                <w:rFonts w:eastAsia="Times New Roman"/>
                <w:b w:val="0"/>
              </w:rPr>
            </w:pPr>
            <w:r>
              <w:rPr>
                <w:rFonts w:eastAsia="Times New Roman"/>
                <w:b w:val="0"/>
              </w:rPr>
              <w:lastRenderedPageBreak/>
              <w:t>$</w:t>
            </w:r>
            <w:r w:rsidR="00E27943">
              <w:rPr>
                <w:rFonts w:eastAsia="Times New Roman"/>
                <w:b w:val="0"/>
              </w:rPr>
              <w:t>150,000</w:t>
            </w:r>
            <w:r>
              <w:rPr>
                <w:rFonts w:eastAsia="Times New Roman"/>
                <w:b w:val="0"/>
              </w:rPr>
              <w:t xml:space="preserve"> for lab management </w:t>
            </w:r>
            <w:r w:rsidR="006A254E">
              <w:rPr>
                <w:rFonts w:eastAsia="Times New Roman"/>
                <w:b w:val="0"/>
              </w:rPr>
              <w:t>platform</w:t>
            </w:r>
            <w:r w:rsidR="00E27943">
              <w:rPr>
                <w:rFonts w:eastAsia="Times New Roman"/>
                <w:b w:val="0"/>
              </w:rPr>
              <w:t xml:space="preserve"> and </w:t>
            </w:r>
            <w:r w:rsidR="00E27943">
              <w:rPr>
                <w:rFonts w:eastAsia="Times New Roman"/>
                <w:b w:val="0"/>
              </w:rPr>
              <w:lastRenderedPageBreak/>
              <w:t>animal caging</w:t>
            </w:r>
          </w:p>
          <w:p w14:paraId="3A5D5C16" w14:textId="77777777" w:rsidR="00AC6DAF" w:rsidRDefault="00AC6DAF" w:rsidP="00AC6DAF">
            <w:pPr>
              <w:spacing w:line="240" w:lineRule="auto"/>
              <w:jc w:val="center"/>
              <w:rPr>
                <w:rFonts w:eastAsia="Times New Roman"/>
                <w:b w:val="0"/>
              </w:rPr>
            </w:pPr>
          </w:p>
          <w:p w14:paraId="46235F8B" w14:textId="05561EE8" w:rsidR="00B16323" w:rsidRPr="00B16323" w:rsidRDefault="00B16323" w:rsidP="00E27943">
            <w:pPr>
              <w:ind w:left="14"/>
              <w:rPr>
                <w:b w:val="0"/>
              </w:rPr>
            </w:pPr>
          </w:p>
        </w:tc>
        <w:tc>
          <w:tcPr>
            <w:tcW w:w="1735" w:type="dxa"/>
            <w:tcMar>
              <w:top w:w="120" w:type="dxa"/>
              <w:left w:w="120" w:type="dxa"/>
              <w:bottom w:w="120" w:type="dxa"/>
              <w:right w:w="120" w:type="dxa"/>
            </w:tcMar>
            <w:vAlign w:val="center"/>
          </w:tcPr>
          <w:p w14:paraId="489BFB08" w14:textId="77777777" w:rsidR="00B16323" w:rsidRDefault="006A254E" w:rsidP="006A254E">
            <w:pPr>
              <w:rPr>
                <w:rFonts w:eastAsia="Times New Roman"/>
                <w:b w:val="0"/>
                <w:color w:val="auto"/>
              </w:rPr>
            </w:pPr>
            <w:r>
              <w:rPr>
                <w:rFonts w:eastAsia="Times New Roman"/>
                <w:b w:val="0"/>
                <w:color w:val="auto"/>
              </w:rPr>
              <w:lastRenderedPageBreak/>
              <w:t>Centralize data and Compliance Tracking</w:t>
            </w:r>
          </w:p>
          <w:p w14:paraId="77EF1C3B" w14:textId="77777777" w:rsidR="006A254E" w:rsidRDefault="006A254E" w:rsidP="006A254E">
            <w:pPr>
              <w:rPr>
                <w:rFonts w:eastAsia="Times New Roman"/>
                <w:b w:val="0"/>
                <w:color w:val="auto"/>
              </w:rPr>
            </w:pPr>
          </w:p>
          <w:p w14:paraId="5615238C" w14:textId="61B17D89" w:rsidR="006A254E" w:rsidRPr="00B16323" w:rsidRDefault="006A254E" w:rsidP="006A254E">
            <w:pPr>
              <w:rPr>
                <w:rFonts w:eastAsia="Times New Roman"/>
                <w:b w:val="0"/>
                <w:color w:val="auto"/>
              </w:rPr>
            </w:pPr>
            <w:r>
              <w:rPr>
                <w:rFonts w:eastAsia="Times New Roman"/>
                <w:b w:val="0"/>
                <w:color w:val="auto"/>
              </w:rPr>
              <w:t>Enhance animal facility</w:t>
            </w:r>
          </w:p>
        </w:tc>
        <w:tc>
          <w:tcPr>
            <w:tcW w:w="6663" w:type="dxa"/>
            <w:tcMar>
              <w:top w:w="120" w:type="dxa"/>
              <w:left w:w="120" w:type="dxa"/>
              <w:bottom w:w="120" w:type="dxa"/>
              <w:right w:w="120" w:type="dxa"/>
            </w:tcMar>
            <w:vAlign w:val="center"/>
          </w:tcPr>
          <w:p w14:paraId="425FAC5A" w14:textId="1C1AF996" w:rsidR="006A254E" w:rsidRPr="006A254E" w:rsidRDefault="006A254E" w:rsidP="006A254E">
            <w:pPr>
              <w:pStyle w:val="ListParagraph"/>
              <w:numPr>
                <w:ilvl w:val="0"/>
                <w:numId w:val="13"/>
              </w:numPr>
              <w:spacing w:line="240" w:lineRule="auto"/>
              <w:ind w:left="397" w:hanging="284"/>
              <w:rPr>
                <w:b w:val="0"/>
                <w:bCs/>
              </w:rPr>
            </w:pPr>
            <w:r w:rsidRPr="006A254E">
              <w:rPr>
                <w:b w:val="0"/>
                <w:bCs/>
              </w:rPr>
              <w:lastRenderedPageBreak/>
              <w:t xml:space="preserve">Purchase and initial implementation of a new Laboratory Management Platform. </w:t>
            </w:r>
          </w:p>
          <w:p w14:paraId="6B63C38C" w14:textId="74057A9B" w:rsidR="006A254E" w:rsidRPr="006A254E" w:rsidRDefault="006A254E" w:rsidP="006A254E">
            <w:pPr>
              <w:pStyle w:val="ListParagraph"/>
              <w:numPr>
                <w:ilvl w:val="0"/>
                <w:numId w:val="13"/>
              </w:numPr>
              <w:spacing w:line="240" w:lineRule="auto"/>
              <w:ind w:left="397" w:hanging="284"/>
              <w:rPr>
                <w:b w:val="0"/>
                <w:bCs/>
              </w:rPr>
            </w:pPr>
            <w:r w:rsidRPr="006A254E">
              <w:rPr>
                <w:b w:val="0"/>
                <w:bCs/>
              </w:rPr>
              <w:t xml:space="preserve">Purchase, delivery and completed installation of additional cages. </w:t>
            </w:r>
          </w:p>
          <w:p w14:paraId="040199B7" w14:textId="7D0EF87C" w:rsidR="00B16323" w:rsidRPr="00B16323" w:rsidRDefault="00B16323" w:rsidP="006A254E">
            <w:pPr>
              <w:pStyle w:val="NoSpacing"/>
              <w:rPr>
                <w:rFonts w:ascii="Arial" w:hAnsi="Arial" w:cs="Arial"/>
              </w:rPr>
            </w:pPr>
          </w:p>
        </w:tc>
        <w:tc>
          <w:tcPr>
            <w:tcW w:w="5736" w:type="dxa"/>
            <w:tcMar>
              <w:top w:w="120" w:type="dxa"/>
              <w:left w:w="120" w:type="dxa"/>
              <w:bottom w:w="120" w:type="dxa"/>
              <w:right w:w="120" w:type="dxa"/>
            </w:tcMar>
            <w:vAlign w:val="center"/>
          </w:tcPr>
          <w:p w14:paraId="4572AE90" w14:textId="59042FBB" w:rsidR="006A254E" w:rsidRPr="006A254E" w:rsidRDefault="006A254E" w:rsidP="006A254E">
            <w:pPr>
              <w:pStyle w:val="ListParagraph"/>
              <w:numPr>
                <w:ilvl w:val="0"/>
                <w:numId w:val="13"/>
              </w:numPr>
              <w:spacing w:line="240" w:lineRule="auto"/>
              <w:ind w:left="397" w:hanging="284"/>
              <w:rPr>
                <w:b w:val="0"/>
                <w:bCs/>
              </w:rPr>
            </w:pPr>
            <w:r w:rsidRPr="006A254E">
              <w:rPr>
                <w:b w:val="0"/>
                <w:bCs/>
              </w:rPr>
              <w:lastRenderedPageBreak/>
              <w:t xml:space="preserve">Implementing this software will significantly strengthen our compliance posture, streamline laboratory operations, and reduce administrative burden, ensuring that our institution remains at the </w:t>
            </w:r>
            <w:r w:rsidRPr="006A254E">
              <w:rPr>
                <w:b w:val="0"/>
                <w:bCs/>
              </w:rPr>
              <w:lastRenderedPageBreak/>
              <w:t>forefront of research excellence and regulatory adherence.</w:t>
            </w:r>
          </w:p>
          <w:p w14:paraId="5B9F9F5B" w14:textId="18DF67A9" w:rsidR="006A254E" w:rsidRPr="006A254E" w:rsidRDefault="006A254E" w:rsidP="006A254E">
            <w:pPr>
              <w:pStyle w:val="ListParagraph"/>
              <w:numPr>
                <w:ilvl w:val="0"/>
                <w:numId w:val="13"/>
              </w:numPr>
              <w:spacing w:line="240" w:lineRule="auto"/>
              <w:ind w:left="397" w:hanging="284"/>
              <w:rPr>
                <w:b w:val="0"/>
                <w:bCs/>
              </w:rPr>
            </w:pPr>
            <w:r w:rsidRPr="006A254E">
              <w:rPr>
                <w:b w:val="0"/>
                <w:bCs/>
              </w:rPr>
              <w:t>Completed installation will result in increased capacity to house CCAC compliant rat experiments.</w:t>
            </w:r>
          </w:p>
          <w:p w14:paraId="4C72AB84" w14:textId="78E6B31F" w:rsidR="00B16323" w:rsidRPr="00B16323" w:rsidRDefault="00B16323" w:rsidP="006A254E">
            <w:pPr>
              <w:pStyle w:val="NoSpacing"/>
              <w:rPr>
                <w:rFonts w:ascii="Arial" w:hAnsi="Arial" w:cs="Arial"/>
              </w:rPr>
            </w:pPr>
          </w:p>
        </w:tc>
      </w:tr>
    </w:tbl>
    <w:p w14:paraId="67F4B7F7" w14:textId="77777777" w:rsidR="00891985" w:rsidRPr="00F06F25" w:rsidRDefault="00891985"/>
    <w:p w14:paraId="0A6ADD16" w14:textId="5EA7EF35" w:rsidR="00E438A7" w:rsidRDefault="00E438A7">
      <w:pPr>
        <w:spacing w:after="160"/>
      </w:pPr>
      <w:r>
        <w:br w:type="page"/>
      </w:r>
    </w:p>
    <w:p w14:paraId="6B90AFC6" w14:textId="77777777" w:rsidR="00C07D98" w:rsidRDefault="00C07D98"/>
    <w:p w14:paraId="474604D7" w14:textId="77777777" w:rsidR="00C07D98" w:rsidRDefault="00C07D98"/>
    <w:p w14:paraId="2CB7A844" w14:textId="418976EE" w:rsidR="00405D03" w:rsidRPr="00F06F25" w:rsidRDefault="00405D03">
      <w:r w:rsidRPr="00F06F25">
        <w:t>Research Security</w:t>
      </w:r>
      <w:r w:rsidR="004E59FB">
        <w:t xml:space="preserve"> 2026-2027</w:t>
      </w:r>
    </w:p>
    <w:tbl>
      <w:tblPr>
        <w:tblpPr w:leftFromText="180" w:rightFromText="180" w:vertAnchor="text" w:horzAnchor="margin" w:tblpY="172"/>
        <w:tblW w:w="18262" w:type="dxa"/>
        <w:tblBorders>
          <w:top w:val="single" w:sz="6" w:space="0" w:color="4472C4" w:themeColor="accent5"/>
          <w:left w:val="single" w:sz="6" w:space="0" w:color="4472C4" w:themeColor="accent5"/>
          <w:bottom w:val="single" w:sz="6" w:space="0" w:color="4472C4" w:themeColor="accent5"/>
          <w:right w:val="single" w:sz="6" w:space="0" w:color="4472C4" w:themeColor="accent5"/>
          <w:insideH w:val="single" w:sz="6" w:space="0" w:color="4472C4" w:themeColor="accent5"/>
          <w:insideV w:val="single" w:sz="6" w:space="0" w:color="4472C4" w:themeColor="accent5"/>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42"/>
        <w:gridCol w:w="1627"/>
        <w:gridCol w:w="1793"/>
        <w:gridCol w:w="7846"/>
        <w:gridCol w:w="5654"/>
      </w:tblGrid>
      <w:tr w:rsidR="00405D03" w:rsidRPr="00F06F25" w14:paraId="4888E801" w14:textId="77777777" w:rsidTr="00E14B56">
        <w:trPr>
          <w:trHeight w:val="720"/>
        </w:trPr>
        <w:tc>
          <w:tcPr>
            <w:tcW w:w="1342" w:type="dxa"/>
            <w:shd w:val="clear" w:color="auto" w:fill="2E74B5" w:themeFill="accent1" w:themeFillShade="BF"/>
          </w:tcPr>
          <w:p w14:paraId="1CBF13E5" w14:textId="77777777" w:rsidR="00405D03" w:rsidRPr="001203C6" w:rsidRDefault="00405D03" w:rsidP="00405D03">
            <w:pPr>
              <w:spacing w:line="240" w:lineRule="auto"/>
              <w:jc w:val="center"/>
              <w:rPr>
                <w:bCs/>
                <w:color w:val="FFFFFF" w:themeColor="background1"/>
              </w:rPr>
            </w:pPr>
            <w:r w:rsidRPr="001203C6">
              <w:rPr>
                <w:bCs/>
                <w:color w:val="FFFFFF" w:themeColor="background1"/>
              </w:rPr>
              <w:t>Project Title</w:t>
            </w:r>
          </w:p>
        </w:tc>
        <w:tc>
          <w:tcPr>
            <w:tcW w:w="1627" w:type="dxa"/>
            <w:shd w:val="clear" w:color="auto" w:fill="2E74B5" w:themeFill="accent1" w:themeFillShade="BF"/>
            <w:tcMar>
              <w:top w:w="120" w:type="dxa"/>
              <w:left w:w="120" w:type="dxa"/>
              <w:bottom w:w="120" w:type="dxa"/>
              <w:right w:w="120" w:type="dxa"/>
            </w:tcMar>
            <w:hideMark/>
          </w:tcPr>
          <w:p w14:paraId="696AEDD6" w14:textId="460ACFB2" w:rsidR="00405D03" w:rsidRPr="001203C6" w:rsidRDefault="00405D03" w:rsidP="00405D03">
            <w:pPr>
              <w:spacing w:line="240" w:lineRule="auto"/>
              <w:jc w:val="center"/>
              <w:rPr>
                <w:bCs/>
                <w:color w:val="FFFFFF" w:themeColor="background1"/>
              </w:rPr>
            </w:pPr>
            <w:r w:rsidRPr="001203C6">
              <w:rPr>
                <w:bCs/>
                <w:color w:val="FFFFFF" w:themeColor="background1"/>
              </w:rPr>
              <w:t xml:space="preserve">Output (investment of </w:t>
            </w:r>
            <w:r w:rsidR="001203C6">
              <w:rPr>
                <w:bCs/>
                <w:color w:val="FFFFFF" w:themeColor="background1"/>
              </w:rPr>
              <w:t>RS</w:t>
            </w:r>
            <w:r w:rsidRPr="001203C6">
              <w:rPr>
                <w:bCs/>
                <w:color w:val="FFFFFF" w:themeColor="background1"/>
              </w:rPr>
              <w:t xml:space="preserve"> grant funds)</w:t>
            </w:r>
          </w:p>
        </w:tc>
        <w:tc>
          <w:tcPr>
            <w:tcW w:w="1793" w:type="dxa"/>
            <w:shd w:val="clear" w:color="auto" w:fill="2E74B5" w:themeFill="accent1" w:themeFillShade="BF"/>
            <w:tcMar>
              <w:top w:w="120" w:type="dxa"/>
              <w:left w:w="120" w:type="dxa"/>
              <w:bottom w:w="120" w:type="dxa"/>
              <w:right w:w="120" w:type="dxa"/>
            </w:tcMar>
            <w:hideMark/>
          </w:tcPr>
          <w:p w14:paraId="46332D0B" w14:textId="77777777" w:rsidR="00405D03" w:rsidRPr="001203C6" w:rsidRDefault="00405D03" w:rsidP="00405D03">
            <w:pPr>
              <w:spacing w:after="150" w:line="240" w:lineRule="auto"/>
              <w:jc w:val="center"/>
              <w:rPr>
                <w:bCs/>
                <w:color w:val="FFFFFF" w:themeColor="background1"/>
              </w:rPr>
            </w:pPr>
            <w:r w:rsidRPr="001203C6">
              <w:rPr>
                <w:bCs/>
                <w:color w:val="FFFFFF" w:themeColor="background1"/>
              </w:rPr>
              <w:t>Performance objective</w:t>
            </w:r>
          </w:p>
        </w:tc>
        <w:tc>
          <w:tcPr>
            <w:tcW w:w="7846" w:type="dxa"/>
            <w:shd w:val="clear" w:color="auto" w:fill="2E74B5" w:themeFill="accent1" w:themeFillShade="BF"/>
            <w:tcMar>
              <w:top w:w="120" w:type="dxa"/>
              <w:left w:w="120" w:type="dxa"/>
              <w:bottom w:w="120" w:type="dxa"/>
              <w:right w:w="120" w:type="dxa"/>
            </w:tcMar>
            <w:hideMark/>
          </w:tcPr>
          <w:p w14:paraId="3453D3F7" w14:textId="77777777" w:rsidR="00405D03" w:rsidRPr="001203C6" w:rsidRDefault="00405D03" w:rsidP="00AF0B92">
            <w:pPr>
              <w:spacing w:after="150" w:line="240" w:lineRule="auto"/>
              <w:ind w:hanging="194"/>
              <w:jc w:val="center"/>
              <w:rPr>
                <w:bCs/>
                <w:color w:val="FFFFFF" w:themeColor="background1"/>
              </w:rPr>
            </w:pPr>
            <w:r w:rsidRPr="001203C6">
              <w:rPr>
                <w:bCs/>
                <w:color w:val="FFFFFF" w:themeColor="background1"/>
              </w:rPr>
              <w:t>Performance indicator</w:t>
            </w:r>
          </w:p>
        </w:tc>
        <w:tc>
          <w:tcPr>
            <w:tcW w:w="5654" w:type="dxa"/>
            <w:shd w:val="clear" w:color="auto" w:fill="2E74B5" w:themeFill="accent1" w:themeFillShade="BF"/>
            <w:tcMar>
              <w:top w:w="120" w:type="dxa"/>
              <w:left w:w="120" w:type="dxa"/>
              <w:bottom w:w="120" w:type="dxa"/>
              <w:right w:w="120" w:type="dxa"/>
            </w:tcMar>
            <w:hideMark/>
          </w:tcPr>
          <w:p w14:paraId="0EF783D3" w14:textId="77777777" w:rsidR="00405D03" w:rsidRPr="001203C6" w:rsidRDefault="00405D03" w:rsidP="00405D03">
            <w:pPr>
              <w:spacing w:after="150" w:line="240" w:lineRule="auto"/>
              <w:jc w:val="center"/>
              <w:rPr>
                <w:bCs/>
                <w:color w:val="FFFFFF" w:themeColor="background1"/>
              </w:rPr>
            </w:pPr>
            <w:r w:rsidRPr="001203C6">
              <w:rPr>
                <w:bCs/>
                <w:color w:val="FFFFFF" w:themeColor="background1"/>
              </w:rPr>
              <w:t>Target outcome</w:t>
            </w:r>
          </w:p>
        </w:tc>
      </w:tr>
      <w:tr w:rsidR="00405D03" w:rsidRPr="00F06F25" w14:paraId="322C20EE" w14:textId="77777777" w:rsidTr="00E14B56">
        <w:trPr>
          <w:trHeight w:val="1367"/>
        </w:trPr>
        <w:tc>
          <w:tcPr>
            <w:tcW w:w="1342" w:type="dxa"/>
            <w:vAlign w:val="center"/>
          </w:tcPr>
          <w:p w14:paraId="7BEFC06C" w14:textId="1A34201B" w:rsidR="00405D03" w:rsidRPr="00CC5B61" w:rsidRDefault="00CC5B61" w:rsidP="00F06F25">
            <w:pPr>
              <w:spacing w:line="240" w:lineRule="auto"/>
              <w:rPr>
                <w:rFonts w:eastAsia="Times New Roman"/>
                <w:b w:val="0"/>
                <w:color w:val="auto"/>
              </w:rPr>
            </w:pPr>
            <w:r w:rsidRPr="00CC5B61">
              <w:rPr>
                <w:b w:val="0"/>
              </w:rPr>
              <w:t>Phase 2: Risk Assessment and Mitigation Support in OVPRII</w:t>
            </w:r>
          </w:p>
        </w:tc>
        <w:tc>
          <w:tcPr>
            <w:tcW w:w="1627" w:type="dxa"/>
            <w:tcMar>
              <w:top w:w="120" w:type="dxa"/>
              <w:left w:w="120" w:type="dxa"/>
              <w:bottom w:w="120" w:type="dxa"/>
              <w:right w:w="120" w:type="dxa"/>
            </w:tcMar>
            <w:vAlign w:val="center"/>
            <w:hideMark/>
          </w:tcPr>
          <w:p w14:paraId="37B5DE34" w14:textId="30625B1B" w:rsidR="00405D03" w:rsidRPr="00CC5B61" w:rsidRDefault="00CC5B61" w:rsidP="00405D03">
            <w:pPr>
              <w:ind w:left="14"/>
              <w:jc w:val="center"/>
              <w:rPr>
                <w:rFonts w:eastAsia="Times New Roman"/>
                <w:b w:val="0"/>
              </w:rPr>
            </w:pPr>
            <w:r w:rsidRPr="00CC5B61">
              <w:rPr>
                <w:b w:val="0"/>
              </w:rPr>
              <w:t>$330,409 invested in Research Security support</w:t>
            </w:r>
          </w:p>
        </w:tc>
        <w:tc>
          <w:tcPr>
            <w:tcW w:w="1793" w:type="dxa"/>
            <w:tcMar>
              <w:top w:w="120" w:type="dxa"/>
              <w:left w:w="120" w:type="dxa"/>
              <w:bottom w:w="120" w:type="dxa"/>
              <w:right w:w="120" w:type="dxa"/>
            </w:tcMar>
            <w:vAlign w:val="center"/>
            <w:hideMark/>
          </w:tcPr>
          <w:p w14:paraId="571A4B2E" w14:textId="5EE6ACFC" w:rsidR="00405D03" w:rsidRPr="00CC5B61" w:rsidRDefault="00120526" w:rsidP="00120526">
            <w:pPr>
              <w:ind w:left="14"/>
              <w:rPr>
                <w:rFonts w:eastAsia="Times New Roman"/>
                <w:b w:val="0"/>
                <w:bCs/>
              </w:rPr>
            </w:pPr>
            <w:r w:rsidRPr="00CC5B61">
              <w:rPr>
                <w:b w:val="0"/>
                <w:bCs/>
              </w:rPr>
              <w:t>Mitigate security risks and meet institutional and national security objectives</w:t>
            </w:r>
          </w:p>
        </w:tc>
        <w:tc>
          <w:tcPr>
            <w:tcW w:w="7846" w:type="dxa"/>
            <w:tcMar>
              <w:top w:w="120" w:type="dxa"/>
              <w:left w:w="120" w:type="dxa"/>
              <w:bottom w:w="120" w:type="dxa"/>
              <w:right w:w="120" w:type="dxa"/>
            </w:tcMar>
            <w:vAlign w:val="center"/>
            <w:hideMark/>
          </w:tcPr>
          <w:p w14:paraId="75CB2236" w14:textId="645B761B" w:rsidR="00CC5B61" w:rsidRPr="00CC5B61" w:rsidRDefault="00CC5B61" w:rsidP="00CC5B61">
            <w:pPr>
              <w:pStyle w:val="ListParagraph"/>
              <w:numPr>
                <w:ilvl w:val="0"/>
                <w:numId w:val="13"/>
              </w:numPr>
              <w:spacing w:line="240" w:lineRule="auto"/>
              <w:ind w:left="397" w:hanging="284"/>
              <w:rPr>
                <w:b w:val="0"/>
                <w:bCs/>
              </w:rPr>
            </w:pPr>
            <w:r w:rsidRPr="00CC5B61">
              <w:rPr>
                <w:b w:val="0"/>
                <w:bCs/>
              </w:rPr>
              <w:t>Advisory support for funded research partnerships and proposal development</w:t>
            </w:r>
          </w:p>
          <w:p w14:paraId="637E9223" w14:textId="5028B279" w:rsidR="00CC5B61" w:rsidRPr="00CC5B61" w:rsidRDefault="00CC5B61" w:rsidP="00CC5B61">
            <w:pPr>
              <w:pStyle w:val="ListParagraph"/>
              <w:numPr>
                <w:ilvl w:val="0"/>
                <w:numId w:val="13"/>
              </w:numPr>
              <w:spacing w:line="240" w:lineRule="auto"/>
              <w:ind w:left="397" w:hanging="284"/>
              <w:rPr>
                <w:b w:val="0"/>
                <w:bCs/>
              </w:rPr>
            </w:pPr>
            <w:r w:rsidRPr="00CC5B61">
              <w:rPr>
                <w:b w:val="0"/>
                <w:bCs/>
              </w:rPr>
              <w:t>Proactive due diligence support to enable early identification and assessment of risks in research collaborations, including</w:t>
            </w:r>
          </w:p>
          <w:p w14:paraId="09B9415A" w14:textId="1A7A349E" w:rsidR="00CC5B61" w:rsidRPr="00CC5B61" w:rsidRDefault="00CC5B61" w:rsidP="00CC5B61">
            <w:pPr>
              <w:pStyle w:val="ListParagraph"/>
              <w:numPr>
                <w:ilvl w:val="1"/>
                <w:numId w:val="13"/>
              </w:numPr>
              <w:spacing w:line="240" w:lineRule="auto"/>
              <w:ind w:left="759" w:hanging="284"/>
              <w:rPr>
                <w:b w:val="0"/>
                <w:bCs/>
              </w:rPr>
            </w:pPr>
            <w:r w:rsidRPr="00CC5B61">
              <w:rPr>
                <w:b w:val="0"/>
                <w:bCs/>
              </w:rPr>
              <w:t>Collaborations with foreign universities, industry partners, and other external entities</w:t>
            </w:r>
          </w:p>
          <w:p w14:paraId="230CDE1B" w14:textId="2F12937C" w:rsidR="00CC5B61" w:rsidRPr="00CC5B61" w:rsidRDefault="00CC5B61" w:rsidP="00CC5B61">
            <w:pPr>
              <w:pStyle w:val="ListParagraph"/>
              <w:numPr>
                <w:ilvl w:val="1"/>
                <w:numId w:val="13"/>
              </w:numPr>
              <w:spacing w:line="240" w:lineRule="auto"/>
              <w:ind w:left="759" w:hanging="284"/>
              <w:rPr>
                <w:b w:val="0"/>
                <w:bCs/>
              </w:rPr>
            </w:pPr>
            <w:r w:rsidRPr="00CC5B61">
              <w:rPr>
                <w:b w:val="0"/>
                <w:bCs/>
              </w:rPr>
              <w:t>Visitor risk assessments (e.g. Visiting Scholars) to support informed onboarding and compliant research engagement</w:t>
            </w:r>
          </w:p>
          <w:p w14:paraId="3FB1856E" w14:textId="75DCBBBC" w:rsidR="00CC5B61" w:rsidRPr="00CC5B61" w:rsidRDefault="00CC5B61" w:rsidP="00CC5B61">
            <w:pPr>
              <w:pStyle w:val="ListParagraph"/>
              <w:numPr>
                <w:ilvl w:val="1"/>
                <w:numId w:val="13"/>
              </w:numPr>
              <w:spacing w:line="240" w:lineRule="auto"/>
              <w:ind w:left="759" w:hanging="284"/>
              <w:rPr>
                <w:b w:val="0"/>
                <w:bCs/>
              </w:rPr>
            </w:pPr>
            <w:r w:rsidRPr="00CC5B61">
              <w:rPr>
                <w:b w:val="0"/>
                <w:bCs/>
              </w:rPr>
              <w:t>Hiring-related risk assessments to inform recruitment processes involving research personnel and sensitive research areas</w:t>
            </w:r>
          </w:p>
          <w:p w14:paraId="1A5A6B4A" w14:textId="1779F799" w:rsidR="00CC5B61" w:rsidRPr="00CC5B61" w:rsidRDefault="00CC5B61" w:rsidP="00CC5B61">
            <w:pPr>
              <w:pStyle w:val="ListParagraph"/>
              <w:numPr>
                <w:ilvl w:val="0"/>
                <w:numId w:val="13"/>
              </w:numPr>
              <w:spacing w:line="240" w:lineRule="auto"/>
              <w:ind w:left="397" w:hanging="284"/>
              <w:rPr>
                <w:b w:val="0"/>
                <w:bCs/>
              </w:rPr>
            </w:pPr>
            <w:r w:rsidRPr="00CC5B61">
              <w:rPr>
                <w:b w:val="0"/>
                <w:bCs/>
              </w:rPr>
              <w:t>Number of faculty and staff engaged in communication, education, and knowledge sharing, including through</w:t>
            </w:r>
          </w:p>
          <w:p w14:paraId="19D2A504" w14:textId="7F5371EB" w:rsidR="00CC5B61" w:rsidRPr="00CC5B61" w:rsidRDefault="00CC5B61" w:rsidP="00CC5B61">
            <w:pPr>
              <w:pStyle w:val="ListParagraph"/>
              <w:numPr>
                <w:ilvl w:val="1"/>
                <w:numId w:val="13"/>
              </w:numPr>
              <w:spacing w:line="240" w:lineRule="auto"/>
              <w:ind w:left="759" w:hanging="284"/>
              <w:rPr>
                <w:b w:val="0"/>
                <w:bCs/>
              </w:rPr>
            </w:pPr>
            <w:r w:rsidRPr="00CC5B61">
              <w:rPr>
                <w:b w:val="0"/>
                <w:bCs/>
              </w:rPr>
              <w:t>Presentations, events, and targeted training sessions</w:t>
            </w:r>
          </w:p>
          <w:p w14:paraId="41114798" w14:textId="061AA938" w:rsidR="00CC5B61" w:rsidRPr="00CC5B61" w:rsidRDefault="00CC5B61" w:rsidP="00CC5B61">
            <w:pPr>
              <w:pStyle w:val="ListParagraph"/>
              <w:numPr>
                <w:ilvl w:val="1"/>
                <w:numId w:val="13"/>
              </w:numPr>
              <w:spacing w:line="240" w:lineRule="auto"/>
              <w:ind w:left="759" w:hanging="284"/>
              <w:rPr>
                <w:b w:val="0"/>
                <w:bCs/>
              </w:rPr>
            </w:pPr>
            <w:r w:rsidRPr="00CC5B61">
              <w:rPr>
                <w:b w:val="0"/>
                <w:bCs/>
              </w:rPr>
              <w:t>Individualized consultation support provided to researchers</w:t>
            </w:r>
          </w:p>
          <w:p w14:paraId="4EF47473" w14:textId="2412F48A" w:rsidR="00CC5B61" w:rsidRPr="00CC5B61" w:rsidRDefault="00CC5B61" w:rsidP="00CC5B61">
            <w:pPr>
              <w:pStyle w:val="ListParagraph"/>
              <w:numPr>
                <w:ilvl w:val="1"/>
                <w:numId w:val="13"/>
              </w:numPr>
              <w:spacing w:line="240" w:lineRule="auto"/>
              <w:ind w:left="759" w:hanging="284"/>
              <w:rPr>
                <w:b w:val="0"/>
                <w:bCs/>
              </w:rPr>
            </w:pPr>
            <w:r w:rsidRPr="00CC5B61">
              <w:rPr>
                <w:b w:val="0"/>
                <w:bCs/>
              </w:rPr>
              <w:t>Pre</w:t>
            </w:r>
            <w:r w:rsidRPr="00CC5B61">
              <w:rPr>
                <w:rFonts w:ascii="Cambria Math" w:hAnsi="Cambria Math" w:cs="Cambria Math"/>
                <w:b w:val="0"/>
                <w:bCs/>
              </w:rPr>
              <w:t>‑</w:t>
            </w:r>
            <w:r w:rsidRPr="00CC5B61">
              <w:rPr>
                <w:b w:val="0"/>
                <w:bCs/>
              </w:rPr>
              <w:t>travel security briefings provided to researchers to support risk</w:t>
            </w:r>
            <w:r w:rsidRPr="00CC5B61">
              <w:rPr>
                <w:rFonts w:ascii="Cambria Math" w:hAnsi="Cambria Math" w:cs="Cambria Math"/>
                <w:b w:val="0"/>
                <w:bCs/>
              </w:rPr>
              <w:t>‑</w:t>
            </w:r>
            <w:r w:rsidRPr="00CC5B61">
              <w:rPr>
                <w:b w:val="0"/>
                <w:bCs/>
              </w:rPr>
              <w:t>informed international engagement</w:t>
            </w:r>
          </w:p>
          <w:p w14:paraId="43BFC56F" w14:textId="4C532DEF" w:rsidR="00405D03" w:rsidRPr="00CC5B61" w:rsidRDefault="00CC5B61" w:rsidP="00CC5B61">
            <w:pPr>
              <w:pStyle w:val="ListParagraph"/>
              <w:numPr>
                <w:ilvl w:val="0"/>
                <w:numId w:val="13"/>
              </w:numPr>
              <w:spacing w:line="240" w:lineRule="auto"/>
              <w:ind w:left="397" w:hanging="284"/>
              <w:rPr>
                <w:b w:val="0"/>
                <w:bCs/>
              </w:rPr>
            </w:pPr>
            <w:r w:rsidRPr="00CC5B61">
              <w:rPr>
                <w:b w:val="0"/>
                <w:bCs/>
              </w:rPr>
              <w:t>Percentage of federal grant submissions rejected on security grounds</w:t>
            </w:r>
          </w:p>
        </w:tc>
        <w:tc>
          <w:tcPr>
            <w:tcW w:w="5654" w:type="dxa"/>
            <w:tcMar>
              <w:top w:w="120" w:type="dxa"/>
              <w:left w:w="120" w:type="dxa"/>
              <w:bottom w:w="120" w:type="dxa"/>
              <w:right w:w="120" w:type="dxa"/>
            </w:tcMar>
            <w:vAlign w:val="center"/>
            <w:hideMark/>
          </w:tcPr>
          <w:p w14:paraId="114CB88B" w14:textId="1B6C9B64" w:rsidR="00CC5B61" w:rsidRPr="00CC5B61" w:rsidRDefault="00CC5B61" w:rsidP="00CC5B61">
            <w:pPr>
              <w:pStyle w:val="ListParagraph"/>
              <w:numPr>
                <w:ilvl w:val="0"/>
                <w:numId w:val="9"/>
              </w:numPr>
              <w:spacing w:line="240" w:lineRule="auto"/>
              <w:rPr>
                <w:b w:val="0"/>
                <w:bCs/>
              </w:rPr>
            </w:pPr>
            <w:r w:rsidRPr="00CC5B61">
              <w:rPr>
                <w:b w:val="0"/>
                <w:bCs/>
              </w:rPr>
              <w:t>Embedded culture of responsible research</w:t>
            </w:r>
          </w:p>
          <w:p w14:paraId="475077F3" w14:textId="700DA6C9" w:rsidR="00CC5B61" w:rsidRPr="00CC5B61" w:rsidRDefault="00CC5B61" w:rsidP="00CC5B61">
            <w:pPr>
              <w:pStyle w:val="ListParagraph"/>
              <w:numPr>
                <w:ilvl w:val="0"/>
                <w:numId w:val="9"/>
              </w:numPr>
              <w:spacing w:line="240" w:lineRule="auto"/>
              <w:rPr>
                <w:b w:val="0"/>
                <w:bCs/>
              </w:rPr>
            </w:pPr>
            <w:r w:rsidRPr="00CC5B61">
              <w:rPr>
                <w:b w:val="0"/>
                <w:bCs/>
              </w:rPr>
              <w:t>Enhanced institutional expertise and capacity</w:t>
            </w:r>
          </w:p>
          <w:p w14:paraId="75167BBE" w14:textId="44E1C098" w:rsidR="00CC5B61" w:rsidRPr="00CC5B61" w:rsidRDefault="00CC5B61" w:rsidP="00CC5B61">
            <w:pPr>
              <w:pStyle w:val="ListParagraph"/>
              <w:numPr>
                <w:ilvl w:val="0"/>
                <w:numId w:val="9"/>
              </w:numPr>
              <w:spacing w:line="240" w:lineRule="auto"/>
              <w:rPr>
                <w:b w:val="0"/>
                <w:bCs/>
              </w:rPr>
            </w:pPr>
            <w:r w:rsidRPr="00CC5B61">
              <w:rPr>
                <w:b w:val="0"/>
                <w:bCs/>
              </w:rPr>
              <w:t>Reduced risk exposure to research and researchers</w:t>
            </w:r>
          </w:p>
          <w:p w14:paraId="064F7AF1" w14:textId="419B65F9" w:rsidR="00405D03" w:rsidRPr="00CC5B61" w:rsidRDefault="00CC5B61" w:rsidP="00CC5B61">
            <w:pPr>
              <w:pStyle w:val="ListParagraph"/>
              <w:numPr>
                <w:ilvl w:val="0"/>
                <w:numId w:val="9"/>
              </w:numPr>
              <w:spacing w:line="240" w:lineRule="auto"/>
              <w:rPr>
                <w:b w:val="0"/>
                <w:bCs/>
              </w:rPr>
            </w:pPr>
            <w:r w:rsidRPr="00CC5B61">
              <w:rPr>
                <w:b w:val="0"/>
                <w:bCs/>
              </w:rPr>
              <w:t>Operational consistency and program effectiveness</w:t>
            </w:r>
          </w:p>
        </w:tc>
      </w:tr>
    </w:tbl>
    <w:p w14:paraId="05DDA36F" w14:textId="77777777" w:rsidR="00405D03" w:rsidRPr="00F06F25" w:rsidRDefault="00405D03"/>
    <w:sectPr w:rsidR="00405D03" w:rsidRPr="00F06F25" w:rsidSect="004E59FB">
      <w:headerReference w:type="default" r:id="rId43"/>
      <w:pgSz w:w="20160" w:h="12240" w:orient="landscape" w:code="5"/>
      <w:pgMar w:top="709" w:right="1080" w:bottom="1080" w:left="1080" w:header="142" w:footer="720"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3A02" w14:textId="77777777" w:rsidR="009062A1" w:rsidRDefault="009062A1" w:rsidP="004969DF">
      <w:pPr>
        <w:spacing w:line="240" w:lineRule="auto"/>
      </w:pPr>
      <w:r>
        <w:separator/>
      </w:r>
    </w:p>
  </w:endnote>
  <w:endnote w:type="continuationSeparator" w:id="0">
    <w:p w14:paraId="100CBDE7" w14:textId="77777777" w:rsidR="009062A1" w:rsidRDefault="009062A1" w:rsidP="00496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59E5" w14:textId="77777777" w:rsidR="009062A1" w:rsidRDefault="009062A1" w:rsidP="004969DF">
      <w:pPr>
        <w:spacing w:line="240" w:lineRule="auto"/>
      </w:pPr>
      <w:r>
        <w:separator/>
      </w:r>
    </w:p>
  </w:footnote>
  <w:footnote w:type="continuationSeparator" w:id="0">
    <w:p w14:paraId="4D3CED21" w14:textId="77777777" w:rsidR="009062A1" w:rsidRDefault="009062A1" w:rsidP="004969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D8A7" w14:textId="26A5F6D4" w:rsidR="004969DF" w:rsidRDefault="00496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DE9"/>
    <w:multiLevelType w:val="hybridMultilevel"/>
    <w:tmpl w:val="1346DF20"/>
    <w:lvl w:ilvl="0" w:tplc="1009000B">
      <w:start w:val="1"/>
      <w:numFmt w:val="bullet"/>
      <w:lvlText w:val=""/>
      <w:lvlJc w:val="left"/>
      <w:pPr>
        <w:ind w:left="734" w:hanging="360"/>
      </w:pPr>
      <w:rPr>
        <w:rFonts w:ascii="Wingdings" w:hAnsi="Wingdings" w:hint="default"/>
      </w:rPr>
    </w:lvl>
    <w:lvl w:ilvl="1" w:tplc="10090003" w:tentative="1">
      <w:start w:val="1"/>
      <w:numFmt w:val="bullet"/>
      <w:lvlText w:val="o"/>
      <w:lvlJc w:val="left"/>
      <w:pPr>
        <w:ind w:left="1454" w:hanging="360"/>
      </w:pPr>
      <w:rPr>
        <w:rFonts w:ascii="Courier New" w:hAnsi="Courier New" w:cs="Courier New" w:hint="default"/>
      </w:rPr>
    </w:lvl>
    <w:lvl w:ilvl="2" w:tplc="10090005" w:tentative="1">
      <w:start w:val="1"/>
      <w:numFmt w:val="bullet"/>
      <w:lvlText w:val=""/>
      <w:lvlJc w:val="left"/>
      <w:pPr>
        <w:ind w:left="2174" w:hanging="360"/>
      </w:pPr>
      <w:rPr>
        <w:rFonts w:ascii="Wingdings" w:hAnsi="Wingdings" w:hint="default"/>
      </w:rPr>
    </w:lvl>
    <w:lvl w:ilvl="3" w:tplc="10090001" w:tentative="1">
      <w:start w:val="1"/>
      <w:numFmt w:val="bullet"/>
      <w:lvlText w:val=""/>
      <w:lvlJc w:val="left"/>
      <w:pPr>
        <w:ind w:left="2894" w:hanging="360"/>
      </w:pPr>
      <w:rPr>
        <w:rFonts w:ascii="Symbol" w:hAnsi="Symbol" w:hint="default"/>
      </w:rPr>
    </w:lvl>
    <w:lvl w:ilvl="4" w:tplc="10090003" w:tentative="1">
      <w:start w:val="1"/>
      <w:numFmt w:val="bullet"/>
      <w:lvlText w:val="o"/>
      <w:lvlJc w:val="left"/>
      <w:pPr>
        <w:ind w:left="3614" w:hanging="360"/>
      </w:pPr>
      <w:rPr>
        <w:rFonts w:ascii="Courier New" w:hAnsi="Courier New" w:cs="Courier New" w:hint="default"/>
      </w:rPr>
    </w:lvl>
    <w:lvl w:ilvl="5" w:tplc="10090005" w:tentative="1">
      <w:start w:val="1"/>
      <w:numFmt w:val="bullet"/>
      <w:lvlText w:val=""/>
      <w:lvlJc w:val="left"/>
      <w:pPr>
        <w:ind w:left="4334" w:hanging="360"/>
      </w:pPr>
      <w:rPr>
        <w:rFonts w:ascii="Wingdings" w:hAnsi="Wingdings" w:hint="default"/>
      </w:rPr>
    </w:lvl>
    <w:lvl w:ilvl="6" w:tplc="10090001" w:tentative="1">
      <w:start w:val="1"/>
      <w:numFmt w:val="bullet"/>
      <w:lvlText w:val=""/>
      <w:lvlJc w:val="left"/>
      <w:pPr>
        <w:ind w:left="5054" w:hanging="360"/>
      </w:pPr>
      <w:rPr>
        <w:rFonts w:ascii="Symbol" w:hAnsi="Symbol" w:hint="default"/>
      </w:rPr>
    </w:lvl>
    <w:lvl w:ilvl="7" w:tplc="10090003" w:tentative="1">
      <w:start w:val="1"/>
      <w:numFmt w:val="bullet"/>
      <w:lvlText w:val="o"/>
      <w:lvlJc w:val="left"/>
      <w:pPr>
        <w:ind w:left="5774" w:hanging="360"/>
      </w:pPr>
      <w:rPr>
        <w:rFonts w:ascii="Courier New" w:hAnsi="Courier New" w:cs="Courier New" w:hint="default"/>
      </w:rPr>
    </w:lvl>
    <w:lvl w:ilvl="8" w:tplc="10090005" w:tentative="1">
      <w:start w:val="1"/>
      <w:numFmt w:val="bullet"/>
      <w:lvlText w:val=""/>
      <w:lvlJc w:val="left"/>
      <w:pPr>
        <w:ind w:left="6494" w:hanging="360"/>
      </w:pPr>
      <w:rPr>
        <w:rFonts w:ascii="Wingdings" w:hAnsi="Wingdings" w:hint="default"/>
      </w:rPr>
    </w:lvl>
  </w:abstractNum>
  <w:abstractNum w:abstractNumId="1" w15:restartNumberingAfterBreak="0">
    <w:nsid w:val="096C3113"/>
    <w:multiLevelType w:val="hybridMultilevel"/>
    <w:tmpl w:val="AEAC6BD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A7021A"/>
    <w:multiLevelType w:val="hybridMultilevel"/>
    <w:tmpl w:val="C254A32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210E55"/>
    <w:multiLevelType w:val="hybridMultilevel"/>
    <w:tmpl w:val="386A925C"/>
    <w:lvl w:ilvl="0" w:tplc="1009000B">
      <w:start w:val="1"/>
      <w:numFmt w:val="bullet"/>
      <w:lvlText w:val=""/>
      <w:lvlJc w:val="left"/>
      <w:pPr>
        <w:ind w:left="991" w:hanging="360"/>
      </w:pPr>
      <w:rPr>
        <w:rFonts w:ascii="Wingdings" w:hAnsi="Wingdings" w:hint="default"/>
      </w:rPr>
    </w:lvl>
    <w:lvl w:ilvl="1" w:tplc="10090003" w:tentative="1">
      <w:start w:val="1"/>
      <w:numFmt w:val="bullet"/>
      <w:lvlText w:val="o"/>
      <w:lvlJc w:val="left"/>
      <w:pPr>
        <w:ind w:left="1711" w:hanging="360"/>
      </w:pPr>
      <w:rPr>
        <w:rFonts w:ascii="Courier New" w:hAnsi="Courier New" w:cs="Courier New" w:hint="default"/>
      </w:rPr>
    </w:lvl>
    <w:lvl w:ilvl="2" w:tplc="10090005" w:tentative="1">
      <w:start w:val="1"/>
      <w:numFmt w:val="bullet"/>
      <w:lvlText w:val=""/>
      <w:lvlJc w:val="left"/>
      <w:pPr>
        <w:ind w:left="2431" w:hanging="360"/>
      </w:pPr>
      <w:rPr>
        <w:rFonts w:ascii="Wingdings" w:hAnsi="Wingdings" w:hint="default"/>
      </w:rPr>
    </w:lvl>
    <w:lvl w:ilvl="3" w:tplc="10090001" w:tentative="1">
      <w:start w:val="1"/>
      <w:numFmt w:val="bullet"/>
      <w:lvlText w:val=""/>
      <w:lvlJc w:val="left"/>
      <w:pPr>
        <w:ind w:left="3151" w:hanging="360"/>
      </w:pPr>
      <w:rPr>
        <w:rFonts w:ascii="Symbol" w:hAnsi="Symbol" w:hint="default"/>
      </w:rPr>
    </w:lvl>
    <w:lvl w:ilvl="4" w:tplc="10090003" w:tentative="1">
      <w:start w:val="1"/>
      <w:numFmt w:val="bullet"/>
      <w:lvlText w:val="o"/>
      <w:lvlJc w:val="left"/>
      <w:pPr>
        <w:ind w:left="3871" w:hanging="360"/>
      </w:pPr>
      <w:rPr>
        <w:rFonts w:ascii="Courier New" w:hAnsi="Courier New" w:cs="Courier New" w:hint="default"/>
      </w:rPr>
    </w:lvl>
    <w:lvl w:ilvl="5" w:tplc="10090005" w:tentative="1">
      <w:start w:val="1"/>
      <w:numFmt w:val="bullet"/>
      <w:lvlText w:val=""/>
      <w:lvlJc w:val="left"/>
      <w:pPr>
        <w:ind w:left="4591" w:hanging="360"/>
      </w:pPr>
      <w:rPr>
        <w:rFonts w:ascii="Wingdings" w:hAnsi="Wingdings" w:hint="default"/>
      </w:rPr>
    </w:lvl>
    <w:lvl w:ilvl="6" w:tplc="10090001" w:tentative="1">
      <w:start w:val="1"/>
      <w:numFmt w:val="bullet"/>
      <w:lvlText w:val=""/>
      <w:lvlJc w:val="left"/>
      <w:pPr>
        <w:ind w:left="5311" w:hanging="360"/>
      </w:pPr>
      <w:rPr>
        <w:rFonts w:ascii="Symbol" w:hAnsi="Symbol" w:hint="default"/>
      </w:rPr>
    </w:lvl>
    <w:lvl w:ilvl="7" w:tplc="10090003" w:tentative="1">
      <w:start w:val="1"/>
      <w:numFmt w:val="bullet"/>
      <w:lvlText w:val="o"/>
      <w:lvlJc w:val="left"/>
      <w:pPr>
        <w:ind w:left="6031" w:hanging="360"/>
      </w:pPr>
      <w:rPr>
        <w:rFonts w:ascii="Courier New" w:hAnsi="Courier New" w:cs="Courier New" w:hint="default"/>
      </w:rPr>
    </w:lvl>
    <w:lvl w:ilvl="8" w:tplc="10090005" w:tentative="1">
      <w:start w:val="1"/>
      <w:numFmt w:val="bullet"/>
      <w:lvlText w:val=""/>
      <w:lvlJc w:val="left"/>
      <w:pPr>
        <w:ind w:left="6751" w:hanging="360"/>
      </w:pPr>
      <w:rPr>
        <w:rFonts w:ascii="Wingdings" w:hAnsi="Wingdings" w:hint="default"/>
      </w:rPr>
    </w:lvl>
  </w:abstractNum>
  <w:abstractNum w:abstractNumId="4" w15:restartNumberingAfterBreak="0">
    <w:nsid w:val="3605228A"/>
    <w:multiLevelType w:val="hybridMultilevel"/>
    <w:tmpl w:val="76F2A41E"/>
    <w:lvl w:ilvl="0" w:tplc="1009000B">
      <w:start w:val="1"/>
      <w:numFmt w:val="bullet"/>
      <w:lvlText w:val=""/>
      <w:lvlJc w:val="left"/>
      <w:pPr>
        <w:ind w:left="734" w:hanging="360"/>
      </w:pPr>
      <w:rPr>
        <w:rFonts w:ascii="Wingdings" w:hAnsi="Wingdings" w:hint="default"/>
      </w:rPr>
    </w:lvl>
    <w:lvl w:ilvl="1" w:tplc="10090003" w:tentative="1">
      <w:start w:val="1"/>
      <w:numFmt w:val="bullet"/>
      <w:lvlText w:val="o"/>
      <w:lvlJc w:val="left"/>
      <w:pPr>
        <w:ind w:left="1454" w:hanging="360"/>
      </w:pPr>
      <w:rPr>
        <w:rFonts w:ascii="Courier New" w:hAnsi="Courier New" w:cs="Courier New" w:hint="default"/>
      </w:rPr>
    </w:lvl>
    <w:lvl w:ilvl="2" w:tplc="10090005" w:tentative="1">
      <w:start w:val="1"/>
      <w:numFmt w:val="bullet"/>
      <w:lvlText w:val=""/>
      <w:lvlJc w:val="left"/>
      <w:pPr>
        <w:ind w:left="2174" w:hanging="360"/>
      </w:pPr>
      <w:rPr>
        <w:rFonts w:ascii="Wingdings" w:hAnsi="Wingdings" w:hint="default"/>
      </w:rPr>
    </w:lvl>
    <w:lvl w:ilvl="3" w:tplc="10090001" w:tentative="1">
      <w:start w:val="1"/>
      <w:numFmt w:val="bullet"/>
      <w:lvlText w:val=""/>
      <w:lvlJc w:val="left"/>
      <w:pPr>
        <w:ind w:left="2894" w:hanging="360"/>
      </w:pPr>
      <w:rPr>
        <w:rFonts w:ascii="Symbol" w:hAnsi="Symbol" w:hint="default"/>
      </w:rPr>
    </w:lvl>
    <w:lvl w:ilvl="4" w:tplc="10090003" w:tentative="1">
      <w:start w:val="1"/>
      <w:numFmt w:val="bullet"/>
      <w:lvlText w:val="o"/>
      <w:lvlJc w:val="left"/>
      <w:pPr>
        <w:ind w:left="3614" w:hanging="360"/>
      </w:pPr>
      <w:rPr>
        <w:rFonts w:ascii="Courier New" w:hAnsi="Courier New" w:cs="Courier New" w:hint="default"/>
      </w:rPr>
    </w:lvl>
    <w:lvl w:ilvl="5" w:tplc="10090005" w:tentative="1">
      <w:start w:val="1"/>
      <w:numFmt w:val="bullet"/>
      <w:lvlText w:val=""/>
      <w:lvlJc w:val="left"/>
      <w:pPr>
        <w:ind w:left="4334" w:hanging="360"/>
      </w:pPr>
      <w:rPr>
        <w:rFonts w:ascii="Wingdings" w:hAnsi="Wingdings" w:hint="default"/>
      </w:rPr>
    </w:lvl>
    <w:lvl w:ilvl="6" w:tplc="10090001" w:tentative="1">
      <w:start w:val="1"/>
      <w:numFmt w:val="bullet"/>
      <w:lvlText w:val=""/>
      <w:lvlJc w:val="left"/>
      <w:pPr>
        <w:ind w:left="5054" w:hanging="360"/>
      </w:pPr>
      <w:rPr>
        <w:rFonts w:ascii="Symbol" w:hAnsi="Symbol" w:hint="default"/>
      </w:rPr>
    </w:lvl>
    <w:lvl w:ilvl="7" w:tplc="10090003" w:tentative="1">
      <w:start w:val="1"/>
      <w:numFmt w:val="bullet"/>
      <w:lvlText w:val="o"/>
      <w:lvlJc w:val="left"/>
      <w:pPr>
        <w:ind w:left="5774" w:hanging="360"/>
      </w:pPr>
      <w:rPr>
        <w:rFonts w:ascii="Courier New" w:hAnsi="Courier New" w:cs="Courier New" w:hint="default"/>
      </w:rPr>
    </w:lvl>
    <w:lvl w:ilvl="8" w:tplc="10090005" w:tentative="1">
      <w:start w:val="1"/>
      <w:numFmt w:val="bullet"/>
      <w:lvlText w:val=""/>
      <w:lvlJc w:val="left"/>
      <w:pPr>
        <w:ind w:left="6494" w:hanging="360"/>
      </w:pPr>
      <w:rPr>
        <w:rFonts w:ascii="Wingdings" w:hAnsi="Wingdings" w:hint="default"/>
      </w:rPr>
    </w:lvl>
  </w:abstractNum>
  <w:abstractNum w:abstractNumId="5" w15:restartNumberingAfterBreak="0">
    <w:nsid w:val="45882B80"/>
    <w:multiLevelType w:val="hybridMultilevel"/>
    <w:tmpl w:val="A7A265B8"/>
    <w:lvl w:ilvl="0" w:tplc="10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A87C70"/>
    <w:multiLevelType w:val="hybridMultilevel"/>
    <w:tmpl w:val="56D0FA24"/>
    <w:lvl w:ilvl="0" w:tplc="1009000B">
      <w:start w:val="1"/>
      <w:numFmt w:val="bullet"/>
      <w:lvlText w:val=""/>
      <w:lvlJc w:val="left"/>
      <w:pPr>
        <w:ind w:left="833" w:hanging="360"/>
      </w:pPr>
      <w:rPr>
        <w:rFonts w:ascii="Wingdings" w:hAnsi="Wingdings" w:hint="default"/>
      </w:rPr>
    </w:lvl>
    <w:lvl w:ilvl="1" w:tplc="10090003">
      <w:start w:val="1"/>
      <w:numFmt w:val="bullet"/>
      <w:lvlText w:val="o"/>
      <w:lvlJc w:val="left"/>
      <w:pPr>
        <w:ind w:left="1553" w:hanging="360"/>
      </w:pPr>
      <w:rPr>
        <w:rFonts w:ascii="Courier New" w:hAnsi="Courier New" w:cs="Courier New" w:hint="default"/>
      </w:rPr>
    </w:lvl>
    <w:lvl w:ilvl="2" w:tplc="10090005" w:tentative="1">
      <w:start w:val="1"/>
      <w:numFmt w:val="bullet"/>
      <w:lvlText w:val=""/>
      <w:lvlJc w:val="left"/>
      <w:pPr>
        <w:ind w:left="2273" w:hanging="360"/>
      </w:pPr>
      <w:rPr>
        <w:rFonts w:ascii="Wingdings" w:hAnsi="Wingdings" w:hint="default"/>
      </w:rPr>
    </w:lvl>
    <w:lvl w:ilvl="3" w:tplc="10090001" w:tentative="1">
      <w:start w:val="1"/>
      <w:numFmt w:val="bullet"/>
      <w:lvlText w:val=""/>
      <w:lvlJc w:val="left"/>
      <w:pPr>
        <w:ind w:left="2993" w:hanging="360"/>
      </w:pPr>
      <w:rPr>
        <w:rFonts w:ascii="Symbol" w:hAnsi="Symbol" w:hint="default"/>
      </w:rPr>
    </w:lvl>
    <w:lvl w:ilvl="4" w:tplc="10090003" w:tentative="1">
      <w:start w:val="1"/>
      <w:numFmt w:val="bullet"/>
      <w:lvlText w:val="o"/>
      <w:lvlJc w:val="left"/>
      <w:pPr>
        <w:ind w:left="3713" w:hanging="360"/>
      </w:pPr>
      <w:rPr>
        <w:rFonts w:ascii="Courier New" w:hAnsi="Courier New" w:cs="Courier New" w:hint="default"/>
      </w:rPr>
    </w:lvl>
    <w:lvl w:ilvl="5" w:tplc="10090005" w:tentative="1">
      <w:start w:val="1"/>
      <w:numFmt w:val="bullet"/>
      <w:lvlText w:val=""/>
      <w:lvlJc w:val="left"/>
      <w:pPr>
        <w:ind w:left="4433" w:hanging="360"/>
      </w:pPr>
      <w:rPr>
        <w:rFonts w:ascii="Wingdings" w:hAnsi="Wingdings" w:hint="default"/>
      </w:rPr>
    </w:lvl>
    <w:lvl w:ilvl="6" w:tplc="10090001" w:tentative="1">
      <w:start w:val="1"/>
      <w:numFmt w:val="bullet"/>
      <w:lvlText w:val=""/>
      <w:lvlJc w:val="left"/>
      <w:pPr>
        <w:ind w:left="5153" w:hanging="360"/>
      </w:pPr>
      <w:rPr>
        <w:rFonts w:ascii="Symbol" w:hAnsi="Symbol" w:hint="default"/>
      </w:rPr>
    </w:lvl>
    <w:lvl w:ilvl="7" w:tplc="10090003" w:tentative="1">
      <w:start w:val="1"/>
      <w:numFmt w:val="bullet"/>
      <w:lvlText w:val="o"/>
      <w:lvlJc w:val="left"/>
      <w:pPr>
        <w:ind w:left="5873" w:hanging="360"/>
      </w:pPr>
      <w:rPr>
        <w:rFonts w:ascii="Courier New" w:hAnsi="Courier New" w:cs="Courier New" w:hint="default"/>
      </w:rPr>
    </w:lvl>
    <w:lvl w:ilvl="8" w:tplc="10090005" w:tentative="1">
      <w:start w:val="1"/>
      <w:numFmt w:val="bullet"/>
      <w:lvlText w:val=""/>
      <w:lvlJc w:val="left"/>
      <w:pPr>
        <w:ind w:left="6593" w:hanging="360"/>
      </w:pPr>
      <w:rPr>
        <w:rFonts w:ascii="Wingdings" w:hAnsi="Wingdings" w:hint="default"/>
      </w:rPr>
    </w:lvl>
  </w:abstractNum>
  <w:abstractNum w:abstractNumId="7" w15:restartNumberingAfterBreak="0">
    <w:nsid w:val="500520FE"/>
    <w:multiLevelType w:val="hybridMultilevel"/>
    <w:tmpl w:val="C7F21DF4"/>
    <w:lvl w:ilvl="0" w:tplc="1009000B">
      <w:start w:val="1"/>
      <w:numFmt w:val="bullet"/>
      <w:lvlText w:val=""/>
      <w:lvlJc w:val="left"/>
      <w:pPr>
        <w:ind w:left="734" w:hanging="360"/>
      </w:pPr>
      <w:rPr>
        <w:rFonts w:ascii="Wingdings" w:hAnsi="Wingdings" w:hint="default"/>
      </w:rPr>
    </w:lvl>
    <w:lvl w:ilvl="1" w:tplc="10090003" w:tentative="1">
      <w:start w:val="1"/>
      <w:numFmt w:val="bullet"/>
      <w:lvlText w:val="o"/>
      <w:lvlJc w:val="left"/>
      <w:pPr>
        <w:ind w:left="1454" w:hanging="360"/>
      </w:pPr>
      <w:rPr>
        <w:rFonts w:ascii="Courier New" w:hAnsi="Courier New" w:cs="Courier New" w:hint="default"/>
      </w:rPr>
    </w:lvl>
    <w:lvl w:ilvl="2" w:tplc="10090005" w:tentative="1">
      <w:start w:val="1"/>
      <w:numFmt w:val="bullet"/>
      <w:lvlText w:val=""/>
      <w:lvlJc w:val="left"/>
      <w:pPr>
        <w:ind w:left="2174" w:hanging="360"/>
      </w:pPr>
      <w:rPr>
        <w:rFonts w:ascii="Wingdings" w:hAnsi="Wingdings" w:hint="default"/>
      </w:rPr>
    </w:lvl>
    <w:lvl w:ilvl="3" w:tplc="10090001" w:tentative="1">
      <w:start w:val="1"/>
      <w:numFmt w:val="bullet"/>
      <w:lvlText w:val=""/>
      <w:lvlJc w:val="left"/>
      <w:pPr>
        <w:ind w:left="2894" w:hanging="360"/>
      </w:pPr>
      <w:rPr>
        <w:rFonts w:ascii="Symbol" w:hAnsi="Symbol" w:hint="default"/>
      </w:rPr>
    </w:lvl>
    <w:lvl w:ilvl="4" w:tplc="10090003" w:tentative="1">
      <w:start w:val="1"/>
      <w:numFmt w:val="bullet"/>
      <w:lvlText w:val="o"/>
      <w:lvlJc w:val="left"/>
      <w:pPr>
        <w:ind w:left="3614" w:hanging="360"/>
      </w:pPr>
      <w:rPr>
        <w:rFonts w:ascii="Courier New" w:hAnsi="Courier New" w:cs="Courier New" w:hint="default"/>
      </w:rPr>
    </w:lvl>
    <w:lvl w:ilvl="5" w:tplc="10090005" w:tentative="1">
      <w:start w:val="1"/>
      <w:numFmt w:val="bullet"/>
      <w:lvlText w:val=""/>
      <w:lvlJc w:val="left"/>
      <w:pPr>
        <w:ind w:left="4334" w:hanging="360"/>
      </w:pPr>
      <w:rPr>
        <w:rFonts w:ascii="Wingdings" w:hAnsi="Wingdings" w:hint="default"/>
      </w:rPr>
    </w:lvl>
    <w:lvl w:ilvl="6" w:tplc="10090001" w:tentative="1">
      <w:start w:val="1"/>
      <w:numFmt w:val="bullet"/>
      <w:lvlText w:val=""/>
      <w:lvlJc w:val="left"/>
      <w:pPr>
        <w:ind w:left="5054" w:hanging="360"/>
      </w:pPr>
      <w:rPr>
        <w:rFonts w:ascii="Symbol" w:hAnsi="Symbol" w:hint="default"/>
      </w:rPr>
    </w:lvl>
    <w:lvl w:ilvl="7" w:tplc="10090003" w:tentative="1">
      <w:start w:val="1"/>
      <w:numFmt w:val="bullet"/>
      <w:lvlText w:val="o"/>
      <w:lvlJc w:val="left"/>
      <w:pPr>
        <w:ind w:left="5774" w:hanging="360"/>
      </w:pPr>
      <w:rPr>
        <w:rFonts w:ascii="Courier New" w:hAnsi="Courier New" w:cs="Courier New" w:hint="default"/>
      </w:rPr>
    </w:lvl>
    <w:lvl w:ilvl="8" w:tplc="10090005" w:tentative="1">
      <w:start w:val="1"/>
      <w:numFmt w:val="bullet"/>
      <w:lvlText w:val=""/>
      <w:lvlJc w:val="left"/>
      <w:pPr>
        <w:ind w:left="6494" w:hanging="360"/>
      </w:pPr>
      <w:rPr>
        <w:rFonts w:ascii="Wingdings" w:hAnsi="Wingdings" w:hint="default"/>
      </w:rPr>
    </w:lvl>
  </w:abstractNum>
  <w:abstractNum w:abstractNumId="8" w15:restartNumberingAfterBreak="0">
    <w:nsid w:val="66C30FC8"/>
    <w:multiLevelType w:val="hybridMultilevel"/>
    <w:tmpl w:val="5464E82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89748B8"/>
    <w:multiLevelType w:val="hybridMultilevel"/>
    <w:tmpl w:val="1F3CA76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0C62B89"/>
    <w:multiLevelType w:val="hybridMultilevel"/>
    <w:tmpl w:val="26A4BB68"/>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2BE410BC">
      <w:numFmt w:val="bullet"/>
      <w:lvlText w:val="-"/>
      <w:lvlJc w:val="left"/>
      <w:pPr>
        <w:ind w:left="2160" w:hanging="360"/>
      </w:pPr>
      <w:rPr>
        <w:rFonts w:ascii="Arial" w:eastAsia="Arial"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9D1516"/>
    <w:multiLevelType w:val="hybridMultilevel"/>
    <w:tmpl w:val="33E2E3D0"/>
    <w:lvl w:ilvl="0" w:tplc="5C860CCA">
      <w:start w:val="1"/>
      <w:numFmt w:val="bullet"/>
      <w:lvlText w:val=""/>
      <w:lvlJc w:val="left"/>
      <w:pPr>
        <w:ind w:left="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0C07D5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64A8C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30E02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F6935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2A852E">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28D10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20F3E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46840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966BAC"/>
    <w:multiLevelType w:val="hybridMultilevel"/>
    <w:tmpl w:val="046ACED6"/>
    <w:lvl w:ilvl="0" w:tplc="1009000B">
      <w:start w:val="1"/>
      <w:numFmt w:val="bullet"/>
      <w:lvlText w:val=""/>
      <w:lvlJc w:val="left"/>
      <w:pPr>
        <w:ind w:left="734" w:hanging="360"/>
      </w:pPr>
      <w:rPr>
        <w:rFonts w:ascii="Wingdings" w:hAnsi="Wingdings" w:hint="default"/>
      </w:rPr>
    </w:lvl>
    <w:lvl w:ilvl="1" w:tplc="10090003" w:tentative="1">
      <w:start w:val="1"/>
      <w:numFmt w:val="bullet"/>
      <w:lvlText w:val="o"/>
      <w:lvlJc w:val="left"/>
      <w:pPr>
        <w:ind w:left="1454" w:hanging="360"/>
      </w:pPr>
      <w:rPr>
        <w:rFonts w:ascii="Courier New" w:hAnsi="Courier New" w:cs="Courier New" w:hint="default"/>
      </w:rPr>
    </w:lvl>
    <w:lvl w:ilvl="2" w:tplc="10090005" w:tentative="1">
      <w:start w:val="1"/>
      <w:numFmt w:val="bullet"/>
      <w:lvlText w:val=""/>
      <w:lvlJc w:val="left"/>
      <w:pPr>
        <w:ind w:left="2174" w:hanging="360"/>
      </w:pPr>
      <w:rPr>
        <w:rFonts w:ascii="Wingdings" w:hAnsi="Wingdings" w:hint="default"/>
      </w:rPr>
    </w:lvl>
    <w:lvl w:ilvl="3" w:tplc="10090001" w:tentative="1">
      <w:start w:val="1"/>
      <w:numFmt w:val="bullet"/>
      <w:lvlText w:val=""/>
      <w:lvlJc w:val="left"/>
      <w:pPr>
        <w:ind w:left="2894" w:hanging="360"/>
      </w:pPr>
      <w:rPr>
        <w:rFonts w:ascii="Symbol" w:hAnsi="Symbol" w:hint="default"/>
      </w:rPr>
    </w:lvl>
    <w:lvl w:ilvl="4" w:tplc="10090003" w:tentative="1">
      <w:start w:val="1"/>
      <w:numFmt w:val="bullet"/>
      <w:lvlText w:val="o"/>
      <w:lvlJc w:val="left"/>
      <w:pPr>
        <w:ind w:left="3614" w:hanging="360"/>
      </w:pPr>
      <w:rPr>
        <w:rFonts w:ascii="Courier New" w:hAnsi="Courier New" w:cs="Courier New" w:hint="default"/>
      </w:rPr>
    </w:lvl>
    <w:lvl w:ilvl="5" w:tplc="10090005" w:tentative="1">
      <w:start w:val="1"/>
      <w:numFmt w:val="bullet"/>
      <w:lvlText w:val=""/>
      <w:lvlJc w:val="left"/>
      <w:pPr>
        <w:ind w:left="4334" w:hanging="360"/>
      </w:pPr>
      <w:rPr>
        <w:rFonts w:ascii="Wingdings" w:hAnsi="Wingdings" w:hint="default"/>
      </w:rPr>
    </w:lvl>
    <w:lvl w:ilvl="6" w:tplc="10090001" w:tentative="1">
      <w:start w:val="1"/>
      <w:numFmt w:val="bullet"/>
      <w:lvlText w:val=""/>
      <w:lvlJc w:val="left"/>
      <w:pPr>
        <w:ind w:left="5054" w:hanging="360"/>
      </w:pPr>
      <w:rPr>
        <w:rFonts w:ascii="Symbol" w:hAnsi="Symbol" w:hint="default"/>
      </w:rPr>
    </w:lvl>
    <w:lvl w:ilvl="7" w:tplc="10090003" w:tentative="1">
      <w:start w:val="1"/>
      <w:numFmt w:val="bullet"/>
      <w:lvlText w:val="o"/>
      <w:lvlJc w:val="left"/>
      <w:pPr>
        <w:ind w:left="5774" w:hanging="360"/>
      </w:pPr>
      <w:rPr>
        <w:rFonts w:ascii="Courier New" w:hAnsi="Courier New" w:cs="Courier New" w:hint="default"/>
      </w:rPr>
    </w:lvl>
    <w:lvl w:ilvl="8" w:tplc="10090005" w:tentative="1">
      <w:start w:val="1"/>
      <w:numFmt w:val="bullet"/>
      <w:lvlText w:val=""/>
      <w:lvlJc w:val="left"/>
      <w:pPr>
        <w:ind w:left="6494" w:hanging="360"/>
      </w:pPr>
      <w:rPr>
        <w:rFonts w:ascii="Wingdings" w:hAnsi="Wingdings" w:hint="default"/>
      </w:rPr>
    </w:lvl>
  </w:abstractNum>
  <w:num w:numId="1" w16cid:durableId="564488411">
    <w:abstractNumId w:val="11"/>
  </w:num>
  <w:num w:numId="2" w16cid:durableId="1736277444">
    <w:abstractNumId w:val="3"/>
  </w:num>
  <w:num w:numId="3" w16cid:durableId="523514451">
    <w:abstractNumId w:val="7"/>
  </w:num>
  <w:num w:numId="4" w16cid:durableId="1529180407">
    <w:abstractNumId w:val="4"/>
  </w:num>
  <w:num w:numId="5" w16cid:durableId="1826168947">
    <w:abstractNumId w:val="0"/>
  </w:num>
  <w:num w:numId="6" w16cid:durableId="447314004">
    <w:abstractNumId w:val="2"/>
  </w:num>
  <w:num w:numId="7" w16cid:durableId="1643270344">
    <w:abstractNumId w:val="12"/>
  </w:num>
  <w:num w:numId="8" w16cid:durableId="402527360">
    <w:abstractNumId w:val="8"/>
  </w:num>
  <w:num w:numId="9" w16cid:durableId="2088454396">
    <w:abstractNumId w:val="5"/>
  </w:num>
  <w:num w:numId="10" w16cid:durableId="2084797411">
    <w:abstractNumId w:val="1"/>
  </w:num>
  <w:num w:numId="11" w16cid:durableId="239172588">
    <w:abstractNumId w:val="9"/>
  </w:num>
  <w:num w:numId="12" w16cid:durableId="1157189292">
    <w:abstractNumId w:val="10"/>
  </w:num>
  <w:num w:numId="13" w16cid:durableId="56815762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F2"/>
    <w:rsid w:val="000031C4"/>
    <w:rsid w:val="00017B65"/>
    <w:rsid w:val="0002498E"/>
    <w:rsid w:val="00094497"/>
    <w:rsid w:val="000F2FFA"/>
    <w:rsid w:val="00101589"/>
    <w:rsid w:val="001203C6"/>
    <w:rsid w:val="00120526"/>
    <w:rsid w:val="00147EB5"/>
    <w:rsid w:val="00147FD7"/>
    <w:rsid w:val="0016369F"/>
    <w:rsid w:val="001A285F"/>
    <w:rsid w:val="001A44A8"/>
    <w:rsid w:val="001F1CEB"/>
    <w:rsid w:val="00204EC2"/>
    <w:rsid w:val="002120A3"/>
    <w:rsid w:val="00250624"/>
    <w:rsid w:val="00273FFD"/>
    <w:rsid w:val="00275B45"/>
    <w:rsid w:val="00276F9D"/>
    <w:rsid w:val="00280978"/>
    <w:rsid w:val="00295817"/>
    <w:rsid w:val="002A172D"/>
    <w:rsid w:val="002A4359"/>
    <w:rsid w:val="002A4D04"/>
    <w:rsid w:val="002B41C6"/>
    <w:rsid w:val="002C10C7"/>
    <w:rsid w:val="002C10D9"/>
    <w:rsid w:val="002E1DB6"/>
    <w:rsid w:val="002E543D"/>
    <w:rsid w:val="003523EB"/>
    <w:rsid w:val="003525A6"/>
    <w:rsid w:val="0038651F"/>
    <w:rsid w:val="003A02A3"/>
    <w:rsid w:val="003B2913"/>
    <w:rsid w:val="003C58CF"/>
    <w:rsid w:val="003F0638"/>
    <w:rsid w:val="00405D03"/>
    <w:rsid w:val="004162EF"/>
    <w:rsid w:val="00442182"/>
    <w:rsid w:val="004572F3"/>
    <w:rsid w:val="0047205A"/>
    <w:rsid w:val="004823A6"/>
    <w:rsid w:val="004969DF"/>
    <w:rsid w:val="004A0F7E"/>
    <w:rsid w:val="004B386F"/>
    <w:rsid w:val="004C3071"/>
    <w:rsid w:val="004E1023"/>
    <w:rsid w:val="004E59FB"/>
    <w:rsid w:val="004F2660"/>
    <w:rsid w:val="00511681"/>
    <w:rsid w:val="005156ED"/>
    <w:rsid w:val="0052700C"/>
    <w:rsid w:val="005429D7"/>
    <w:rsid w:val="005648A6"/>
    <w:rsid w:val="0056685D"/>
    <w:rsid w:val="005D0C7E"/>
    <w:rsid w:val="005D29E5"/>
    <w:rsid w:val="005F047E"/>
    <w:rsid w:val="00602332"/>
    <w:rsid w:val="006247D9"/>
    <w:rsid w:val="006514EE"/>
    <w:rsid w:val="00654403"/>
    <w:rsid w:val="006573C9"/>
    <w:rsid w:val="0066469D"/>
    <w:rsid w:val="00671E3A"/>
    <w:rsid w:val="00686309"/>
    <w:rsid w:val="006873FA"/>
    <w:rsid w:val="00693267"/>
    <w:rsid w:val="006951C0"/>
    <w:rsid w:val="006A254E"/>
    <w:rsid w:val="006A7AA0"/>
    <w:rsid w:val="006B36A4"/>
    <w:rsid w:val="006C5910"/>
    <w:rsid w:val="006C734A"/>
    <w:rsid w:val="0071138B"/>
    <w:rsid w:val="0076436B"/>
    <w:rsid w:val="00772D3C"/>
    <w:rsid w:val="00781DFC"/>
    <w:rsid w:val="00793F5B"/>
    <w:rsid w:val="007D16E8"/>
    <w:rsid w:val="007E2F92"/>
    <w:rsid w:val="007F73A3"/>
    <w:rsid w:val="00844901"/>
    <w:rsid w:val="008755B5"/>
    <w:rsid w:val="00891985"/>
    <w:rsid w:val="00896B38"/>
    <w:rsid w:val="008B6881"/>
    <w:rsid w:val="008C2CC6"/>
    <w:rsid w:val="008E290A"/>
    <w:rsid w:val="008E431C"/>
    <w:rsid w:val="009062A1"/>
    <w:rsid w:val="00920098"/>
    <w:rsid w:val="0092703A"/>
    <w:rsid w:val="00941042"/>
    <w:rsid w:val="009457F1"/>
    <w:rsid w:val="00985EDE"/>
    <w:rsid w:val="009A130C"/>
    <w:rsid w:val="009A3E79"/>
    <w:rsid w:val="009D2129"/>
    <w:rsid w:val="009E2F85"/>
    <w:rsid w:val="00A00757"/>
    <w:rsid w:val="00A2570D"/>
    <w:rsid w:val="00A451F4"/>
    <w:rsid w:val="00A46C9D"/>
    <w:rsid w:val="00A51042"/>
    <w:rsid w:val="00A56A56"/>
    <w:rsid w:val="00A60FB5"/>
    <w:rsid w:val="00A82C7E"/>
    <w:rsid w:val="00AA38E2"/>
    <w:rsid w:val="00AA7260"/>
    <w:rsid w:val="00AC6DAF"/>
    <w:rsid w:val="00AD477E"/>
    <w:rsid w:val="00AF0B92"/>
    <w:rsid w:val="00B16323"/>
    <w:rsid w:val="00B272D9"/>
    <w:rsid w:val="00B51DA3"/>
    <w:rsid w:val="00B574EE"/>
    <w:rsid w:val="00B77C4E"/>
    <w:rsid w:val="00B952D3"/>
    <w:rsid w:val="00B96EB8"/>
    <w:rsid w:val="00BC46FE"/>
    <w:rsid w:val="00BE5569"/>
    <w:rsid w:val="00BF3A6E"/>
    <w:rsid w:val="00BF5547"/>
    <w:rsid w:val="00C04E5F"/>
    <w:rsid w:val="00C07D98"/>
    <w:rsid w:val="00C10860"/>
    <w:rsid w:val="00C3272E"/>
    <w:rsid w:val="00C35EF8"/>
    <w:rsid w:val="00C3792F"/>
    <w:rsid w:val="00C541E8"/>
    <w:rsid w:val="00C8236D"/>
    <w:rsid w:val="00C96A73"/>
    <w:rsid w:val="00CA712A"/>
    <w:rsid w:val="00CB6976"/>
    <w:rsid w:val="00CB7C7E"/>
    <w:rsid w:val="00CC3BF2"/>
    <w:rsid w:val="00CC5B61"/>
    <w:rsid w:val="00D2461D"/>
    <w:rsid w:val="00D3201A"/>
    <w:rsid w:val="00D40F0F"/>
    <w:rsid w:val="00D44D95"/>
    <w:rsid w:val="00D47BA3"/>
    <w:rsid w:val="00DB27F7"/>
    <w:rsid w:val="00DC70D4"/>
    <w:rsid w:val="00DF65DB"/>
    <w:rsid w:val="00E03989"/>
    <w:rsid w:val="00E14003"/>
    <w:rsid w:val="00E14B56"/>
    <w:rsid w:val="00E250BA"/>
    <w:rsid w:val="00E27943"/>
    <w:rsid w:val="00E438A7"/>
    <w:rsid w:val="00E56084"/>
    <w:rsid w:val="00ED0142"/>
    <w:rsid w:val="00ED762E"/>
    <w:rsid w:val="00F01F81"/>
    <w:rsid w:val="00F06F25"/>
    <w:rsid w:val="00F24796"/>
    <w:rsid w:val="00F25920"/>
    <w:rsid w:val="00F65205"/>
    <w:rsid w:val="00F751A9"/>
    <w:rsid w:val="00F849D2"/>
    <w:rsid w:val="00FA780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4351A"/>
  <w15:docId w15:val="{D370B233-E168-4C8D-B373-23AA459E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6E8"/>
    <w:pPr>
      <w:spacing w:after="0"/>
    </w:pPr>
    <w:rPr>
      <w:rFonts w:ascii="Arial" w:eastAsia="Arial" w:hAnsi="Arial" w:cs="Arial"/>
      <w:b/>
      <w:color w:val="000000"/>
    </w:rPr>
  </w:style>
  <w:style w:type="paragraph" w:styleId="Heading1">
    <w:name w:val="heading 1"/>
    <w:basedOn w:val="Normal"/>
    <w:next w:val="Normal"/>
    <w:link w:val="Heading1Char"/>
    <w:uiPriority w:val="9"/>
    <w:qFormat/>
    <w:rsid w:val="004E59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1CEB"/>
    <w:pPr>
      <w:ind w:left="720"/>
      <w:contextualSpacing/>
    </w:pPr>
  </w:style>
  <w:style w:type="character" w:styleId="Hyperlink">
    <w:name w:val="Hyperlink"/>
    <w:basedOn w:val="DefaultParagraphFont"/>
    <w:uiPriority w:val="99"/>
    <w:unhideWhenUsed/>
    <w:rsid w:val="009D2129"/>
    <w:rPr>
      <w:color w:val="0563C1"/>
      <w:u w:val="single"/>
    </w:rPr>
  </w:style>
  <w:style w:type="character" w:styleId="FollowedHyperlink">
    <w:name w:val="FollowedHyperlink"/>
    <w:basedOn w:val="DefaultParagraphFont"/>
    <w:uiPriority w:val="99"/>
    <w:semiHidden/>
    <w:unhideWhenUsed/>
    <w:rsid w:val="003A02A3"/>
    <w:rPr>
      <w:color w:val="954F72" w:themeColor="followedHyperlink"/>
      <w:u w:val="single"/>
    </w:rPr>
  </w:style>
  <w:style w:type="character" w:customStyle="1" w:styleId="ui-provider">
    <w:name w:val="ui-provider"/>
    <w:basedOn w:val="DefaultParagraphFont"/>
    <w:rsid w:val="00985EDE"/>
  </w:style>
  <w:style w:type="character" w:styleId="CommentReference">
    <w:name w:val="annotation reference"/>
    <w:basedOn w:val="DefaultParagraphFont"/>
    <w:uiPriority w:val="99"/>
    <w:semiHidden/>
    <w:unhideWhenUsed/>
    <w:rsid w:val="00E56084"/>
    <w:rPr>
      <w:sz w:val="16"/>
      <w:szCs w:val="16"/>
    </w:rPr>
  </w:style>
  <w:style w:type="paragraph" w:styleId="CommentText">
    <w:name w:val="annotation text"/>
    <w:basedOn w:val="Normal"/>
    <w:link w:val="CommentTextChar"/>
    <w:uiPriority w:val="99"/>
    <w:semiHidden/>
    <w:unhideWhenUsed/>
    <w:rsid w:val="00E56084"/>
    <w:pPr>
      <w:spacing w:line="240" w:lineRule="auto"/>
    </w:pPr>
    <w:rPr>
      <w:sz w:val="20"/>
      <w:szCs w:val="20"/>
    </w:rPr>
  </w:style>
  <w:style w:type="character" w:customStyle="1" w:styleId="CommentTextChar">
    <w:name w:val="Comment Text Char"/>
    <w:basedOn w:val="DefaultParagraphFont"/>
    <w:link w:val="CommentText"/>
    <w:uiPriority w:val="99"/>
    <w:semiHidden/>
    <w:rsid w:val="00E56084"/>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E56084"/>
    <w:rPr>
      <w:bCs/>
    </w:rPr>
  </w:style>
  <w:style w:type="character" w:customStyle="1" w:styleId="CommentSubjectChar">
    <w:name w:val="Comment Subject Char"/>
    <w:basedOn w:val="CommentTextChar"/>
    <w:link w:val="CommentSubject"/>
    <w:uiPriority w:val="99"/>
    <w:semiHidden/>
    <w:rsid w:val="00E5608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560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084"/>
    <w:rPr>
      <w:rFonts w:ascii="Segoe UI" w:eastAsia="Arial" w:hAnsi="Segoe UI" w:cs="Segoe UI"/>
      <w:b/>
      <w:color w:val="000000"/>
      <w:sz w:val="18"/>
      <w:szCs w:val="18"/>
    </w:rPr>
  </w:style>
  <w:style w:type="paragraph" w:styleId="Header">
    <w:name w:val="header"/>
    <w:basedOn w:val="Normal"/>
    <w:link w:val="HeaderChar"/>
    <w:uiPriority w:val="99"/>
    <w:unhideWhenUsed/>
    <w:rsid w:val="004969DF"/>
    <w:pPr>
      <w:tabs>
        <w:tab w:val="center" w:pos="4680"/>
        <w:tab w:val="right" w:pos="9360"/>
      </w:tabs>
      <w:spacing w:line="240" w:lineRule="auto"/>
    </w:pPr>
  </w:style>
  <w:style w:type="character" w:customStyle="1" w:styleId="HeaderChar">
    <w:name w:val="Header Char"/>
    <w:basedOn w:val="DefaultParagraphFont"/>
    <w:link w:val="Header"/>
    <w:uiPriority w:val="99"/>
    <w:rsid w:val="004969DF"/>
    <w:rPr>
      <w:rFonts w:ascii="Arial" w:eastAsia="Arial" w:hAnsi="Arial" w:cs="Arial"/>
      <w:b/>
      <w:color w:val="000000"/>
    </w:rPr>
  </w:style>
  <w:style w:type="paragraph" w:styleId="Footer">
    <w:name w:val="footer"/>
    <w:basedOn w:val="Normal"/>
    <w:link w:val="FooterChar"/>
    <w:uiPriority w:val="99"/>
    <w:unhideWhenUsed/>
    <w:rsid w:val="004969DF"/>
    <w:pPr>
      <w:tabs>
        <w:tab w:val="center" w:pos="4680"/>
        <w:tab w:val="right" w:pos="9360"/>
      </w:tabs>
      <w:spacing w:line="240" w:lineRule="auto"/>
    </w:pPr>
  </w:style>
  <w:style w:type="character" w:customStyle="1" w:styleId="FooterChar">
    <w:name w:val="Footer Char"/>
    <w:basedOn w:val="DefaultParagraphFont"/>
    <w:link w:val="Footer"/>
    <w:uiPriority w:val="99"/>
    <w:rsid w:val="004969DF"/>
    <w:rPr>
      <w:rFonts w:ascii="Arial" w:eastAsia="Arial" w:hAnsi="Arial" w:cs="Arial"/>
      <w:b/>
      <w:color w:val="000000"/>
    </w:rPr>
  </w:style>
  <w:style w:type="character" w:styleId="UnresolvedMention">
    <w:name w:val="Unresolved Mention"/>
    <w:basedOn w:val="DefaultParagraphFont"/>
    <w:uiPriority w:val="99"/>
    <w:semiHidden/>
    <w:unhideWhenUsed/>
    <w:rsid w:val="0002498E"/>
    <w:rPr>
      <w:color w:val="605E5C"/>
      <w:shd w:val="clear" w:color="auto" w:fill="E1DFDD"/>
    </w:rPr>
  </w:style>
  <w:style w:type="character" w:styleId="Strong">
    <w:name w:val="Strong"/>
    <w:basedOn w:val="DefaultParagraphFont"/>
    <w:uiPriority w:val="22"/>
    <w:qFormat/>
    <w:rsid w:val="0002498E"/>
    <w:rPr>
      <w:b/>
      <w:bCs/>
    </w:rPr>
  </w:style>
  <w:style w:type="paragraph" w:styleId="NoSpacing">
    <w:name w:val="No Spacing"/>
    <w:uiPriority w:val="1"/>
    <w:qFormat/>
    <w:rsid w:val="00F06F25"/>
    <w:pPr>
      <w:spacing w:after="0" w:line="240" w:lineRule="auto"/>
    </w:pPr>
    <w:rPr>
      <w:rFonts w:eastAsiaTheme="minorHAnsi"/>
      <w:kern w:val="2"/>
      <w:lang w:eastAsia="en-US"/>
      <w14:ligatures w14:val="standardContextual"/>
    </w:rPr>
  </w:style>
  <w:style w:type="character" w:customStyle="1" w:styleId="Heading1Char">
    <w:name w:val="Heading 1 Char"/>
    <w:basedOn w:val="DefaultParagraphFont"/>
    <w:link w:val="Heading1"/>
    <w:uiPriority w:val="9"/>
    <w:rsid w:val="004E59FB"/>
    <w:rPr>
      <w:rFonts w:asciiTheme="majorHAnsi" w:eastAsiaTheme="majorEastAsia" w:hAnsiTheme="majorHAnsi" w:cstheme="majorBidi"/>
      <w:b/>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965">
      <w:bodyDiv w:val="1"/>
      <w:marLeft w:val="0"/>
      <w:marRight w:val="0"/>
      <w:marTop w:val="0"/>
      <w:marBottom w:val="0"/>
      <w:divBdr>
        <w:top w:val="none" w:sz="0" w:space="0" w:color="auto"/>
        <w:left w:val="none" w:sz="0" w:space="0" w:color="auto"/>
        <w:bottom w:val="none" w:sz="0" w:space="0" w:color="auto"/>
        <w:right w:val="none" w:sz="0" w:space="0" w:color="auto"/>
      </w:divBdr>
    </w:div>
    <w:div w:id="439879774">
      <w:bodyDiv w:val="1"/>
      <w:marLeft w:val="0"/>
      <w:marRight w:val="0"/>
      <w:marTop w:val="0"/>
      <w:marBottom w:val="0"/>
      <w:divBdr>
        <w:top w:val="none" w:sz="0" w:space="0" w:color="auto"/>
        <w:left w:val="none" w:sz="0" w:space="0" w:color="auto"/>
        <w:bottom w:val="none" w:sz="0" w:space="0" w:color="auto"/>
        <w:right w:val="none" w:sz="0" w:space="0" w:color="auto"/>
      </w:divBdr>
    </w:div>
    <w:div w:id="1235775529">
      <w:bodyDiv w:val="1"/>
      <w:marLeft w:val="0"/>
      <w:marRight w:val="0"/>
      <w:marTop w:val="0"/>
      <w:marBottom w:val="0"/>
      <w:divBdr>
        <w:top w:val="none" w:sz="0" w:space="0" w:color="auto"/>
        <w:left w:val="none" w:sz="0" w:space="0" w:color="auto"/>
        <w:bottom w:val="none" w:sz="0" w:space="0" w:color="auto"/>
        <w:right w:val="none" w:sz="0" w:space="0" w:color="auto"/>
      </w:divBdr>
      <w:divsChild>
        <w:div w:id="562179677">
          <w:marLeft w:val="0"/>
          <w:marRight w:val="0"/>
          <w:marTop w:val="0"/>
          <w:marBottom w:val="0"/>
          <w:divBdr>
            <w:top w:val="none" w:sz="0" w:space="0" w:color="auto"/>
            <w:left w:val="none" w:sz="0" w:space="0" w:color="auto"/>
            <w:bottom w:val="none" w:sz="0" w:space="0" w:color="auto"/>
            <w:right w:val="none" w:sz="0" w:space="0" w:color="auto"/>
          </w:divBdr>
        </w:div>
      </w:divsChild>
    </w:div>
    <w:div w:id="1310548278">
      <w:bodyDiv w:val="1"/>
      <w:marLeft w:val="0"/>
      <w:marRight w:val="0"/>
      <w:marTop w:val="0"/>
      <w:marBottom w:val="0"/>
      <w:divBdr>
        <w:top w:val="none" w:sz="0" w:space="0" w:color="auto"/>
        <w:left w:val="none" w:sz="0" w:space="0" w:color="auto"/>
        <w:bottom w:val="none" w:sz="0" w:space="0" w:color="auto"/>
        <w:right w:val="none" w:sz="0" w:space="0" w:color="auto"/>
      </w:divBdr>
    </w:div>
    <w:div w:id="1639334585">
      <w:bodyDiv w:val="1"/>
      <w:marLeft w:val="0"/>
      <w:marRight w:val="0"/>
      <w:marTop w:val="0"/>
      <w:marBottom w:val="0"/>
      <w:divBdr>
        <w:top w:val="none" w:sz="0" w:space="0" w:color="auto"/>
        <w:left w:val="none" w:sz="0" w:space="0" w:color="auto"/>
        <w:bottom w:val="none" w:sz="0" w:space="0" w:color="auto"/>
        <w:right w:val="none" w:sz="0" w:space="0" w:color="auto"/>
      </w:divBdr>
    </w:div>
    <w:div w:id="1997487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sf-fsr.gc.ca/administer-administrer/expenditures-depenses-eng.aspx" TargetMode="External"/><Relationship Id="rId18" Type="http://schemas.openxmlformats.org/officeDocument/2006/relationships/hyperlink" Target="http://www.rsf-fsr.gc.ca/administer-administrer/expenditures-depenses-eng.aspx" TargetMode="External"/><Relationship Id="rId26" Type="http://schemas.openxmlformats.org/officeDocument/2006/relationships/hyperlink" Target="http://www.rsf-fsr.gc.ca/administer-administrer/expenditures-depenses-eng.aspx" TargetMode="External"/><Relationship Id="rId39" Type="http://schemas.openxmlformats.org/officeDocument/2006/relationships/hyperlink" Target="http://www.rsf-fsr.gc.ca/administer-administrer/expenditures-depenses-eng.aspx" TargetMode="External"/><Relationship Id="rId21" Type="http://schemas.openxmlformats.org/officeDocument/2006/relationships/hyperlink" Target="http://www.rsf-fsr.gc.ca/administer-administrer/expenditures-depenses-eng.aspx" TargetMode="External"/><Relationship Id="rId34" Type="http://schemas.openxmlformats.org/officeDocument/2006/relationships/hyperlink" Target="http://www.rsf-fsr.gc.ca/administer-administrer/expenditures-depenses-eng.aspx" TargetMode="External"/><Relationship Id="rId42" Type="http://schemas.openxmlformats.org/officeDocument/2006/relationships/hyperlink" Target="http://www.rsf-fsr.gc.ca/administer-administrer/expenditures-depenses-eng.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rleton.ca/rcs/research-software-development/" TargetMode="External"/><Relationship Id="rId29" Type="http://schemas.openxmlformats.org/officeDocument/2006/relationships/hyperlink" Target="http://www.rsf-fsr.gc.ca/administer-administrer/expenditures-depenses-eng.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f-fsr.gc.ca/administer-administrer/expenditures-depenses-eng.aspx" TargetMode="External"/><Relationship Id="rId24" Type="http://schemas.openxmlformats.org/officeDocument/2006/relationships/hyperlink" Target="http://www.rsf-fsr.gc.ca/administer-administrer/expenditures-depenses-eng.aspx" TargetMode="External"/><Relationship Id="rId32" Type="http://schemas.openxmlformats.org/officeDocument/2006/relationships/hyperlink" Target="http://www.rsf-fsr.gc.ca/administer-administrer/expenditures-depenses-eng.aspx" TargetMode="External"/><Relationship Id="rId37" Type="http://schemas.openxmlformats.org/officeDocument/2006/relationships/hyperlink" Target="http://www.rsf-fsr.gc.ca/administer-administrer/expenditures-depenses-eng.aspx" TargetMode="External"/><Relationship Id="rId40" Type="http://schemas.openxmlformats.org/officeDocument/2006/relationships/hyperlink" Target="http://www.rsf-fsr.gc.ca/administer-administrer/expenditures-depenses-eng.asp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sf-fsr.gc.ca/administer-administrer/expenditures-depenses-eng.aspx" TargetMode="External"/><Relationship Id="rId23" Type="http://schemas.openxmlformats.org/officeDocument/2006/relationships/hyperlink" Target="http://www.rsf-fsr.gc.ca/administer-administrer/expenditures-depenses-eng.aspx" TargetMode="External"/><Relationship Id="rId28" Type="http://schemas.openxmlformats.org/officeDocument/2006/relationships/hyperlink" Target="http://www.rsf-fsr.gc.ca/administer-administrer/expenditures-depenses-eng.aspx" TargetMode="External"/><Relationship Id="rId36" Type="http://schemas.openxmlformats.org/officeDocument/2006/relationships/hyperlink" Target="http://www.rsf-fsr.gc.ca/administer-administrer/expenditures-depenses-eng.aspx" TargetMode="External"/><Relationship Id="rId10" Type="http://schemas.openxmlformats.org/officeDocument/2006/relationships/hyperlink" Target="http://www.rsf-fsr.gc.ca/administer-administrer/expenditures-depenses-eng.aspx" TargetMode="External"/><Relationship Id="rId19" Type="http://schemas.openxmlformats.org/officeDocument/2006/relationships/hyperlink" Target="http://www.rsf-fsr.gc.ca/administer-administrer/expenditures-depenses-eng.aspx" TargetMode="External"/><Relationship Id="rId31" Type="http://schemas.openxmlformats.org/officeDocument/2006/relationships/hyperlink" Target="http://www.rsf-fsr.gc.ca/administer-administrer/expenditures-depenses-eng.asp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f-fsr.gc.ca/administer-administrer/expenditures-depenses-eng.aspx" TargetMode="External"/><Relationship Id="rId14" Type="http://schemas.openxmlformats.org/officeDocument/2006/relationships/hyperlink" Target="http://www.rsf-fsr.gc.ca/administer-administrer/expenditures-depenses-eng.aspx" TargetMode="External"/><Relationship Id="rId22" Type="http://schemas.openxmlformats.org/officeDocument/2006/relationships/hyperlink" Target="http://www.rsf-fsr.gc.ca/administer-administrer/expenditures-depenses-eng.aspx" TargetMode="External"/><Relationship Id="rId27" Type="http://schemas.openxmlformats.org/officeDocument/2006/relationships/hyperlink" Target="http://www.rsf-fsr.gc.ca/administer-administrer/expenditures-depenses-eng.aspx" TargetMode="External"/><Relationship Id="rId30" Type="http://schemas.openxmlformats.org/officeDocument/2006/relationships/hyperlink" Target="http://www.rsf-fsr.gc.ca/administer-administrer/expenditures-depenses-eng.aspx" TargetMode="External"/><Relationship Id="rId35" Type="http://schemas.openxmlformats.org/officeDocument/2006/relationships/hyperlink" Target="http://www.rsf-fsr.gc.ca/administer-administrer/expenditures-depenses-eng.aspx" TargetMode="External"/><Relationship Id="rId43" Type="http://schemas.openxmlformats.org/officeDocument/2006/relationships/header" Target="header1.xml"/><Relationship Id="rId8" Type="http://schemas.openxmlformats.org/officeDocument/2006/relationships/hyperlink" Target="http://www.rsf-fsr.gc.ca/administer-administrer/expenditures-depenses-eng.aspx" TargetMode="External"/><Relationship Id="rId3" Type="http://schemas.openxmlformats.org/officeDocument/2006/relationships/styles" Target="styles.xml"/><Relationship Id="rId12" Type="http://schemas.openxmlformats.org/officeDocument/2006/relationships/hyperlink" Target="http://www.rsf-fsr.gc.ca/administer-administrer/expenditures-depenses-eng.aspx" TargetMode="External"/><Relationship Id="rId17" Type="http://schemas.openxmlformats.org/officeDocument/2006/relationships/hyperlink" Target="http://www.rsf-fsr.gc.ca/administer-administrer/expenditures-depenses-eng.aspx" TargetMode="External"/><Relationship Id="rId25" Type="http://schemas.openxmlformats.org/officeDocument/2006/relationships/hyperlink" Target="http://www.rsf-fsr.gc.ca/administer-administrer/expenditures-depenses-eng.aspx" TargetMode="External"/><Relationship Id="rId33" Type="http://schemas.openxmlformats.org/officeDocument/2006/relationships/hyperlink" Target="http://www.rsf-fsr.gc.ca/administer-administrer/expenditures-depenses-eng.aspx" TargetMode="External"/><Relationship Id="rId38" Type="http://schemas.openxmlformats.org/officeDocument/2006/relationships/hyperlink" Target="http://www.rsf-fsr.gc.ca/administer-administrer/expenditures-depenses-eng.aspx" TargetMode="External"/><Relationship Id="rId20" Type="http://schemas.openxmlformats.org/officeDocument/2006/relationships/hyperlink" Target="http://www.rsf-fsr.gc.ca/administer-administrer/expenditures-depenses-eng.aspx" TargetMode="External"/><Relationship Id="rId41" Type="http://schemas.openxmlformats.org/officeDocument/2006/relationships/hyperlink" Target="http://www.rsf-fsr.gc.ca/administer-administrer/expenditures-depenses-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D1CF7-C6A1-4B93-9533-0BECC0C6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6</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 MacRae</dc:creator>
  <cp:keywords/>
  <cp:lastModifiedBy>Andrea Lawrance</cp:lastModifiedBy>
  <cp:revision>19</cp:revision>
  <dcterms:created xsi:type="dcterms:W3CDTF">2026-05-01T11:11:00Z</dcterms:created>
  <dcterms:modified xsi:type="dcterms:W3CDTF">2026-06-16T20:19:00Z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1120276956</vt:i4>
  </property>
</Properties>
</file>